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37" w:rsidRDefault="00573737" w:rsidP="00573737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ПРОЕКТ </w:t>
      </w:r>
    </w:p>
    <w:p w:rsidR="000544E9" w:rsidRDefault="000544E9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544E9" w:rsidRDefault="000544E9" w:rsidP="000544E9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544E9" w:rsidRDefault="00573737" w:rsidP="000544E9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</w:t>
      </w:r>
      <w:r w:rsidR="000544E9">
        <w:rPr>
          <w:rFonts w:eastAsiaTheme="minorEastAsia"/>
          <w:b/>
          <w:bCs/>
        </w:rPr>
        <w:t xml:space="preserve">.04.2022                                                                       </w:t>
      </w:r>
      <w:r w:rsidR="005B47F6">
        <w:rPr>
          <w:rFonts w:eastAsiaTheme="minorEastAsia"/>
          <w:b/>
          <w:bCs/>
        </w:rPr>
        <w:t xml:space="preserve">     </w:t>
      </w:r>
      <w:r w:rsidR="000544E9">
        <w:rPr>
          <w:rFonts w:eastAsiaTheme="minorEastAsia"/>
          <w:b/>
          <w:bCs/>
        </w:rPr>
        <w:t xml:space="preserve">                </w:t>
      </w:r>
      <w:r>
        <w:rPr>
          <w:rFonts w:eastAsiaTheme="minorEastAsia"/>
          <w:b/>
          <w:bCs/>
        </w:rPr>
        <w:t xml:space="preserve">                             № </w:t>
      </w:r>
      <w:r w:rsidR="000544E9">
        <w:rPr>
          <w:rFonts w:eastAsiaTheme="minorEastAsia"/>
          <w:b/>
          <w:bCs/>
        </w:rPr>
        <w:t xml:space="preserve">                             </w:t>
      </w:r>
    </w:p>
    <w:p w:rsidR="000544E9" w:rsidRDefault="000544E9" w:rsidP="000544E9">
      <w:pPr>
        <w:rPr>
          <w:rFonts w:eastAsiaTheme="minorEastAsia"/>
          <w:b/>
          <w:bCs/>
        </w:rPr>
      </w:pPr>
    </w:p>
    <w:p w:rsidR="000544E9" w:rsidRDefault="000544E9" w:rsidP="000544E9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>
        <w:rPr>
          <w:b/>
        </w:rPr>
        <w:t>Об утверждении Положения</w:t>
      </w:r>
    </w:p>
    <w:p w:rsidR="000544E9" w:rsidRDefault="000544E9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>
        <w:rPr>
          <w:rFonts w:eastAsiaTheme="minorEastAsia"/>
          <w:b/>
          <w:bCs/>
        </w:rPr>
        <w:t>»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 Санкт-Петербурга от 06.07.2005</w:t>
      </w:r>
      <w:proofErr w:type="gramEnd"/>
      <w:r>
        <w:rPr>
          <w:rFonts w:eastAsiaTheme="minorEastAsia"/>
        </w:rPr>
        <w:t xml:space="preserve"> № </w:t>
      </w:r>
      <w:proofErr w:type="gramStart"/>
      <w:r>
        <w:rPr>
          <w:rFonts w:eastAsiaTheme="minorEastAsia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>
        <w:rPr>
          <w:rFonts w:eastAsiaTheme="minorEastAsia"/>
        </w:rPr>
        <w:t xml:space="preserve">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>
        <w:t>муниципальный совет,</w:t>
      </w: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РЕШИЛ:</w:t>
      </w:r>
    </w:p>
    <w:p w:rsidR="000544E9" w:rsidRDefault="000544E9" w:rsidP="000544E9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0544E9" w:rsidRPr="000544E9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</w:rPr>
        <w:t>Принять Положение «</w:t>
      </w:r>
      <w:r w:rsidRPr="000544E9"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Pr="000544E9">
        <w:rPr>
          <w:rFonts w:eastAsiaTheme="minorEastAsia"/>
        </w:rPr>
        <w:t>».</w:t>
      </w:r>
    </w:p>
    <w:p w:rsidR="000544E9" w:rsidRPr="000544E9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0544E9">
          <w:rPr>
            <w:rStyle w:val="a3"/>
            <w:rFonts w:eastAsiaTheme="minorEastAsia"/>
            <w:bCs/>
          </w:rPr>
          <w:t>http://www.mo-tyarlevo.ru</w:t>
        </w:r>
      </w:hyperlink>
      <w:r w:rsidRPr="000544E9">
        <w:rPr>
          <w:rFonts w:eastAsiaTheme="minorEastAsia"/>
          <w:bCs/>
        </w:rPr>
        <w:t>.</w:t>
      </w:r>
    </w:p>
    <w:p w:rsidR="000544E9" w:rsidRPr="000544E9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0544E9" w:rsidRDefault="000544E9" w:rsidP="000544E9">
      <w:pPr>
        <w:pStyle w:val="a5"/>
        <w:tabs>
          <w:tab w:val="left" w:pos="284"/>
        </w:tabs>
        <w:autoSpaceDE w:val="0"/>
        <w:autoSpaceDN w:val="0"/>
        <w:adjustRightInd w:val="0"/>
        <w:spacing w:before="67" w:line="326" w:lineRule="exact"/>
        <w:ind w:left="142"/>
        <w:jc w:val="both"/>
        <w:rPr>
          <w:rFonts w:eastAsiaTheme="minorEastAsia"/>
          <w:b/>
          <w:bCs/>
        </w:rPr>
      </w:pPr>
    </w:p>
    <w:p w:rsidR="000544E9" w:rsidRDefault="000544E9" w:rsidP="000544E9">
      <w:pPr>
        <w:rPr>
          <w:rFonts w:eastAsiaTheme="minorEastAsia"/>
        </w:rPr>
      </w:pPr>
    </w:p>
    <w:p w:rsidR="000544E9" w:rsidRDefault="000544E9" w:rsidP="000544E9">
      <w:pPr>
        <w:rPr>
          <w:rFonts w:eastAsiaTheme="minorEastAsia"/>
        </w:rPr>
      </w:pPr>
    </w:p>
    <w:p w:rsidR="000544E9" w:rsidRDefault="000544E9" w:rsidP="000544E9">
      <w:pPr>
        <w:rPr>
          <w:rFonts w:eastAsiaTheme="minorEastAsia"/>
        </w:rPr>
      </w:pPr>
      <w:r>
        <w:rPr>
          <w:rFonts w:eastAsiaTheme="minorEastAsia"/>
        </w:rPr>
        <w:t xml:space="preserve">Глава муниципального образования        </w:t>
      </w:r>
      <w:r w:rsidR="005B47F6">
        <w:rPr>
          <w:rFonts w:eastAsiaTheme="minorEastAsia"/>
        </w:rPr>
        <w:t xml:space="preserve">                      </w:t>
      </w:r>
      <w:r>
        <w:rPr>
          <w:rFonts w:eastAsiaTheme="minorEastAsia"/>
        </w:rPr>
        <w:t xml:space="preserve">                                     Г.А. </w:t>
      </w:r>
      <w:proofErr w:type="spellStart"/>
      <w:r>
        <w:rPr>
          <w:rFonts w:eastAsiaTheme="minorEastAsia"/>
        </w:rPr>
        <w:t>Бекеров</w:t>
      </w:r>
      <w:proofErr w:type="spellEnd"/>
    </w:p>
    <w:p w:rsidR="000544E9" w:rsidRDefault="000544E9" w:rsidP="000544E9">
      <w:pPr>
        <w:rPr>
          <w:rFonts w:eastAsiaTheme="minorEastAsia"/>
          <w:sz w:val="28"/>
          <w:szCs w:val="28"/>
        </w:rPr>
        <w:sectPr w:rsidR="000544E9">
          <w:pgSz w:w="11905" w:h="16837"/>
          <w:pgMar w:top="709" w:right="1411" w:bottom="1440" w:left="1411" w:header="720" w:footer="720" w:gutter="0"/>
          <w:cols w:space="720"/>
        </w:sectPr>
      </w:pPr>
    </w:p>
    <w:p w:rsidR="000544E9" w:rsidRDefault="00DE2AE0" w:rsidP="00DE2AE0">
      <w:pPr>
        <w:autoSpaceDE w:val="0"/>
        <w:autoSpaceDN w:val="0"/>
        <w:adjustRightInd w:val="0"/>
        <w:spacing w:line="278" w:lineRule="exact"/>
        <w:ind w:left="48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 к Решению </w:t>
      </w:r>
      <w:r w:rsidR="000544E9">
        <w:rPr>
          <w:rFonts w:eastAsiaTheme="minorEastAsia"/>
        </w:rPr>
        <w:t>муницип</w:t>
      </w:r>
      <w:r w:rsidR="00573737">
        <w:rPr>
          <w:rFonts w:eastAsiaTheme="minorEastAsia"/>
        </w:rPr>
        <w:t>ального совета от __</w:t>
      </w:r>
      <w:bookmarkStart w:id="0" w:name="_GoBack"/>
      <w:bookmarkEnd w:id="0"/>
      <w:r w:rsidR="00573737">
        <w:rPr>
          <w:rFonts w:eastAsiaTheme="minorEastAsia"/>
        </w:rPr>
        <w:t>.04.2022 № _</w:t>
      </w:r>
    </w:p>
    <w:p w:rsidR="00DE2AE0" w:rsidRDefault="00DE2AE0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ПОЛОЖЕНИЕ 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58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rPr>
          <w:rFonts w:eastAsiaTheme="minorEastAsia"/>
          <w:bCs/>
        </w:rPr>
      </w:pPr>
      <w:r>
        <w:rPr>
          <w:rFonts w:eastAsiaTheme="minorEastAsia"/>
          <w:bCs/>
        </w:rPr>
        <w:t>1. Общие положения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1.1.</w:t>
      </w:r>
      <w:r>
        <w:rPr>
          <w:rFonts w:eastAsiaTheme="minorEastAsia"/>
        </w:rPr>
        <w:tab/>
        <w:t>Настоящее Положение  разработано в соответствии с Трудовым кодексом</w:t>
      </w:r>
      <w:r>
        <w:rPr>
          <w:rFonts w:eastAsiaTheme="minorEastAsia"/>
        </w:rPr>
        <w:br/>
        <w:t>Российской Федерации, Федеральным законом от 06.10.2003 № 131-ФЗ «Об общих</w:t>
      </w:r>
      <w:r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>
        <w:rPr>
          <w:rFonts w:eastAsiaTheme="minorEastAsia"/>
        </w:rPr>
        <w:br/>
        <w:t>Федерации», Законом Санкт-Петербурга от 23.09.2009 № 420-79 «Об организации</w:t>
      </w:r>
      <w:r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>анкт-</w:t>
      </w:r>
      <w:r>
        <w:rPr>
          <w:rFonts w:eastAsiaTheme="minorEastAsia"/>
        </w:rPr>
        <w:br/>
        <w:t xml:space="preserve">Петербурге», </w:t>
      </w:r>
      <w:proofErr w:type="gramStart"/>
      <w:r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2. Денежное содержание муниципальных служащих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>Денежное содержание муниципальных служащих состоит из должностного оклада в соответствии с замещаемой должностью и дополнительных выплат:</w:t>
      </w: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выслугу лет;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классный чин;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премии по результатам труда;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материальной помощи.</w:t>
      </w:r>
    </w:p>
    <w:p w:rsidR="000544E9" w:rsidRDefault="000544E9" w:rsidP="004C3D18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 xml:space="preserve">За базовую единицу для исчисления должностного оклада </w:t>
      </w:r>
      <w:r w:rsidR="009C5B94">
        <w:rPr>
          <w:rFonts w:eastAsiaTheme="minorEastAsia"/>
        </w:rPr>
        <w:t xml:space="preserve">муниципальным служащим </w:t>
      </w:r>
      <w:r>
        <w:rPr>
          <w:rFonts w:eastAsiaTheme="minorEastAsia"/>
        </w:rPr>
        <w:t>образования принимается расчетная единица, размер которой устанавливается Законом Санкт-Петербурга «О расчетной единице».</w:t>
      </w:r>
    </w:p>
    <w:p w:rsidR="000544E9" w:rsidRDefault="000544E9" w:rsidP="004C3D18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>
        <w:rPr>
          <w:rFonts w:eastAsiaTheme="minorEastAsia"/>
        </w:rPr>
        <w:t>2.3.</w:t>
      </w:r>
      <w:r>
        <w:rPr>
          <w:rFonts w:eastAsiaTheme="minorEastAsia"/>
        </w:rPr>
        <w:tab/>
        <w:t>Финансирование расходов, предусмотренных настоящим</w:t>
      </w:r>
      <w:r w:rsidR="00E84FF5">
        <w:rPr>
          <w:rFonts w:eastAsiaTheme="minorEastAsia"/>
        </w:rPr>
        <w:t xml:space="preserve"> Положением</w:t>
      </w:r>
      <w:r>
        <w:rPr>
          <w:rFonts w:eastAsiaTheme="minorEastAsia"/>
        </w:rPr>
        <w:t>,</w:t>
      </w:r>
      <w:r>
        <w:rPr>
          <w:rFonts w:eastAsiaTheme="minorEastAsia"/>
        </w:rPr>
        <w:br/>
        <w:t>осуществляется за счет средств местного бюджета.</w:t>
      </w: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 Дополнительные выплаты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3.1.</w:t>
      </w:r>
      <w:r>
        <w:rPr>
          <w:rFonts w:eastAsiaTheme="minorEastAsia"/>
        </w:rPr>
        <w:tab/>
        <w:t>Дополнительные выплаты устанавливаются в соответствии с действующим</w:t>
      </w:r>
      <w:r>
        <w:rPr>
          <w:rFonts w:eastAsiaTheme="minorEastAsia"/>
        </w:rPr>
        <w:br/>
        <w:t>законодательством Российской Федерации и Санк</w:t>
      </w:r>
      <w:r w:rsidR="009C5B94">
        <w:rPr>
          <w:rFonts w:eastAsiaTheme="minorEastAsia"/>
        </w:rPr>
        <w:t>т-Петербурга, настоящим Положением</w:t>
      </w:r>
      <w:r>
        <w:rPr>
          <w:rFonts w:eastAsiaTheme="minorEastAsia"/>
        </w:rPr>
        <w:t xml:space="preserve"> в</w:t>
      </w:r>
      <w:r>
        <w:rPr>
          <w:rFonts w:eastAsiaTheme="minorEastAsia"/>
        </w:rPr>
        <w:br/>
        <w:t>пределах утвержденных фондов оплаты труда.</w:t>
      </w:r>
    </w:p>
    <w:p w:rsidR="000544E9" w:rsidRDefault="000544E9" w:rsidP="004C3D18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3.2.</w:t>
      </w:r>
      <w:r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F0240">
        <w:rPr>
          <w:rFonts w:eastAsiaTheme="minorEastAsia"/>
        </w:rPr>
        <w:t xml:space="preserve"> </w:t>
      </w:r>
      <w:r w:rsidR="006A161F">
        <w:rPr>
          <w:rFonts w:eastAsiaTheme="minorEastAsia"/>
        </w:rPr>
        <w:t>значения</w:t>
      </w:r>
      <w:r>
        <w:rPr>
          <w:rFonts w:eastAsiaTheme="minorEastAsia"/>
        </w:rPr>
        <w:t>:</w:t>
      </w:r>
    </w:p>
    <w:p w:rsidR="000544E9" w:rsidRDefault="000544E9" w:rsidP="004C3D18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надбавка к должностному окладу за выслугу лет.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 ежемесячной надбавки к должностному окладу за выслугу лет при стаже муниципальной службы: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от 1 года до 5 лет - 10 процентов должностного оклада;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0544E9">
        <w:rPr>
          <w:rFonts w:eastAsiaTheme="minorEastAsia"/>
        </w:rPr>
        <w:t>15 процентов должностного оклада;</w:t>
      </w:r>
    </w:p>
    <w:p w:rsidR="000544E9" w:rsidRDefault="000544E9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</w:t>
      </w:r>
      <w:r w:rsidR="006A161F">
        <w:rPr>
          <w:rFonts w:eastAsiaTheme="minorEastAsia"/>
        </w:rPr>
        <w:t xml:space="preserve"> - </w:t>
      </w:r>
      <w:r>
        <w:rPr>
          <w:rFonts w:eastAsiaTheme="minorEastAsia"/>
        </w:rPr>
        <w:t xml:space="preserve">20 процентов должностного оклада; 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0544E9">
        <w:rPr>
          <w:rFonts w:eastAsiaTheme="minorEastAsia"/>
        </w:rPr>
        <w:t>25 процентов должностного оклада.</w:t>
      </w:r>
    </w:p>
    <w:p w:rsidR="000544E9" w:rsidRDefault="000544E9" w:rsidP="004C3D18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надбавка к должностному окладу за выслугу лет</w:t>
      </w:r>
      <w:r>
        <w:rPr>
          <w:rFonts w:eastAsiaTheme="minorEastAsia"/>
        </w:rPr>
        <w:t xml:space="preserve"> выплачивается с</w:t>
      </w:r>
      <w:r w:rsidR="009C5B94">
        <w:rPr>
          <w:rFonts w:eastAsiaTheme="minorEastAsia"/>
        </w:rPr>
        <w:t>о дня</w:t>
      </w:r>
      <w:r>
        <w:rPr>
          <w:rFonts w:eastAsiaTheme="minorEastAsia"/>
        </w:rPr>
        <w:t xml:space="preserve"> возникновения права на назначение или изменение размера этой надбавки</w:t>
      </w:r>
      <w:r w:rsidR="006A161F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:rsidR="000544E9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Контроль за</w:t>
      </w:r>
      <w:proofErr w:type="gramEnd"/>
      <w:r>
        <w:rPr>
          <w:rFonts w:eastAsiaTheme="minorEastAsia"/>
        </w:rPr>
        <w:t xml:space="preserve"> соблюдением порядка установления надбавки за выслугу лет осуществляется должностным лицом, ответственным за кадровое делопроизводство.</w:t>
      </w:r>
    </w:p>
    <w:p w:rsidR="006A161F" w:rsidRPr="006A161F" w:rsidRDefault="006A161F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544E9" w:rsidRPr="009C5B94" w:rsidRDefault="000544E9" w:rsidP="004C3D18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C5B94">
        <w:rPr>
          <w:rFonts w:eastAsiaTheme="minorEastAsia"/>
          <w:bCs/>
        </w:rPr>
        <w:t>Ежемесячная надбавка к должностному окладу за особые условия труда (службы)</w:t>
      </w:r>
      <w:r w:rsidR="0007237F">
        <w:rPr>
          <w:rFonts w:eastAsiaTheme="minorEastAsia"/>
          <w:bCs/>
        </w:rPr>
        <w:t>.</w:t>
      </w:r>
    </w:p>
    <w:p w:rsidR="000544E9" w:rsidRPr="006A161F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856A9" w:rsidRPr="009C5B94" w:rsidRDefault="000856A9" w:rsidP="000856A9">
      <w:pPr>
        <w:ind w:firstLine="540"/>
        <w:jc w:val="both"/>
      </w:pPr>
      <w:r>
        <w:rPr>
          <w:bCs/>
        </w:rPr>
        <w:t>Размер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–</w:t>
      </w:r>
      <w:r w:rsidR="00FA38B2" w:rsidRPr="009C5B94">
        <w:rPr>
          <w:bCs/>
        </w:rPr>
        <w:t xml:space="preserve">25 </w:t>
      </w:r>
      <w:r w:rsidRPr="009C5B94">
        <w:rPr>
          <w:bCs/>
        </w:rPr>
        <w:t>процентов должностного оклада</w:t>
      </w:r>
      <w:r w:rsidRPr="009C5B94">
        <w:t>.</w:t>
      </w:r>
    </w:p>
    <w:p w:rsidR="000856A9" w:rsidRDefault="000856A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Ежемесячная надбавка к должностному окладу за классный чин.</w:t>
      </w:r>
    </w:p>
    <w:p w:rsidR="006A161F" w:rsidRDefault="006307F7" w:rsidP="006A161F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 w:rsidRPr="006307F7">
        <w:rPr>
          <w:rFonts w:eastAsiaTheme="minorEastAsia"/>
          <w:bCs/>
        </w:rPr>
        <w:t xml:space="preserve">Муниципальным служащим в соответствии с законодательством </w:t>
      </w:r>
      <w:r>
        <w:rPr>
          <w:rFonts w:eastAsiaTheme="minorEastAsia"/>
          <w:bCs/>
        </w:rPr>
        <w:t xml:space="preserve">                  </w:t>
      </w:r>
      <w:r w:rsidRPr="006307F7">
        <w:rPr>
          <w:rFonts w:eastAsiaTheme="minorEastAsia"/>
          <w:bCs/>
        </w:rPr>
        <w:t>Санкт-Петербурга присваиваются классные чины. Размер ежемесячной надбавки за классный чин устанавливается в зависимости от присвоенного муниципальному служащему классного чина и составляет:</w:t>
      </w:r>
    </w:p>
    <w:p w:rsidR="006307F7" w:rsidRDefault="006307F7" w:rsidP="0034016B">
      <w:pPr>
        <w:jc w:val="both"/>
      </w:pPr>
    </w:p>
    <w:p w:rsidR="0034016B" w:rsidRDefault="006307F7" w:rsidP="0034016B">
      <w:pPr>
        <w:jc w:val="both"/>
      </w:pPr>
      <w:r>
        <w:t>Д</w:t>
      </w:r>
      <w:r w:rsidR="0034016B">
        <w:t>ействительный муниципальный советник 1 класса - 9 расчетных единиц;</w:t>
      </w:r>
    </w:p>
    <w:p w:rsidR="0034016B" w:rsidRDefault="0034016B" w:rsidP="0034016B">
      <w:pPr>
        <w:jc w:val="both"/>
      </w:pPr>
      <w:r>
        <w:t>действительный муниципальный советник 2 класса - 8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1 класса - 7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2 класса - 6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1 класса - 5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2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1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2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1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2 класса - 2 расчетные единицы.</w:t>
      </w:r>
    </w:p>
    <w:p w:rsidR="0034016B" w:rsidRDefault="0034016B" w:rsidP="0034016B">
      <w:pPr>
        <w:ind w:firstLine="540"/>
        <w:jc w:val="both"/>
      </w:pPr>
      <w:r>
        <w:t>З</w:t>
      </w:r>
      <w:r w:rsidRPr="007D5263">
        <w:t xml:space="preserve">а базовую единицу для исчисления ежемесячной надбавки к должностному окладу за классный чин лиц, </w:t>
      </w:r>
      <w:r>
        <w:t xml:space="preserve">муниципальным служащим </w:t>
      </w:r>
      <w:r w:rsidRPr="007D5263">
        <w:t>принимается расчетная единица, размер которой устанавлив</w:t>
      </w:r>
      <w:r>
        <w:t>ается законом Санкт-Петербурга «О</w:t>
      </w:r>
      <w:r w:rsidRPr="007D5263">
        <w:t xml:space="preserve"> расчетной единице</w:t>
      </w:r>
      <w:r>
        <w:t>»</w:t>
      </w:r>
      <w:r w:rsidRPr="007D5263">
        <w:t>.</w:t>
      </w:r>
    </w:p>
    <w:p w:rsidR="0034016B" w:rsidRDefault="0034016B" w:rsidP="0034016B">
      <w:pPr>
        <w:ind w:firstLine="540"/>
        <w:jc w:val="both"/>
      </w:pPr>
      <w:r>
        <w:t>Надбавка к должностному окладу муниципального служащего за классный чин устанавливается на основании результатов квалификационного экзамена муниципального служащего.</w:t>
      </w:r>
    </w:p>
    <w:p w:rsidR="0034016B" w:rsidRDefault="0034016B" w:rsidP="0034016B">
      <w:pPr>
        <w:ind w:firstLine="540"/>
        <w:jc w:val="both"/>
      </w:pPr>
      <w:r>
        <w:t>Надбавка к должностному окладу за классный чин главе местной администрации назначается решением муниципального совета.</w:t>
      </w:r>
    </w:p>
    <w:p w:rsidR="000544E9" w:rsidRDefault="0034016B" w:rsidP="0034016B">
      <w:pPr>
        <w:autoSpaceDE w:val="0"/>
        <w:autoSpaceDN w:val="0"/>
        <w:adjustRightInd w:val="0"/>
        <w:ind w:left="355"/>
        <w:jc w:val="both"/>
      </w:pPr>
      <w:r>
        <w:t xml:space="preserve">Надбавка </w:t>
      </w:r>
      <w:r w:rsidRPr="007D5263">
        <w:t>к должностному окладу за классный чин</w:t>
      </w:r>
      <w:r>
        <w:t xml:space="preserve"> выплачивается со дня ее присвоения</w:t>
      </w:r>
      <w:r w:rsidR="006307F7">
        <w:t>.</w:t>
      </w:r>
    </w:p>
    <w:p w:rsidR="00C05E54" w:rsidRDefault="006307F7" w:rsidP="0034016B">
      <w:pPr>
        <w:autoSpaceDE w:val="0"/>
        <w:autoSpaceDN w:val="0"/>
        <w:adjustRightInd w:val="0"/>
        <w:ind w:left="355"/>
        <w:jc w:val="both"/>
      </w:pPr>
      <w:r w:rsidRPr="006307F7">
        <w:lastRenderedPageBreak/>
        <w:t>За базовую единицу для исчисления ежемесячной надбавки к должностному окладу за классный чин принимается расчетная единица, размер которой устанавливается законом Санкт-Петербурга «О расчетной единице».</w:t>
      </w:r>
    </w:p>
    <w:p w:rsidR="00C05E54" w:rsidRDefault="00C05E54" w:rsidP="0034016B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0544E9" w:rsidRPr="0040438C" w:rsidRDefault="007D7AD6" w:rsidP="0040438C">
      <w:pPr>
        <w:pStyle w:val="a5"/>
        <w:numPr>
          <w:ilvl w:val="2"/>
          <w:numId w:val="10"/>
        </w:num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Премия</w:t>
      </w:r>
      <w:r w:rsidR="000544E9" w:rsidRPr="0040438C">
        <w:rPr>
          <w:rFonts w:eastAsiaTheme="minorEastAsia"/>
          <w:bCs/>
        </w:rPr>
        <w:t xml:space="preserve"> по результатам труда</w:t>
      </w:r>
      <w:r w:rsidR="0007237F">
        <w:rPr>
          <w:rFonts w:eastAsiaTheme="minorEastAsia"/>
          <w:bCs/>
        </w:rPr>
        <w:t>.</w:t>
      </w:r>
    </w:p>
    <w:p w:rsidR="0040438C" w:rsidRPr="0040438C" w:rsidRDefault="0040438C" w:rsidP="0040438C">
      <w:pPr>
        <w:autoSpaceDE w:val="0"/>
        <w:autoSpaceDN w:val="0"/>
        <w:adjustRightInd w:val="0"/>
        <w:ind w:left="360"/>
        <w:jc w:val="both"/>
        <w:rPr>
          <w:rFonts w:eastAsiaTheme="minorEastAsia"/>
          <w:bCs/>
        </w:rPr>
      </w:pP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М</w:t>
      </w:r>
      <w:r w:rsidRPr="00C05E54">
        <w:rPr>
          <w:rFonts w:eastAsiaTheme="minorEastAsia"/>
          <w:bCs/>
        </w:rPr>
        <w:t xml:space="preserve">униципальные служащие имеют право получать следующие виды премий: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proofErr w:type="gramStart"/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 w:rsidR="008E29BA"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 на основании распоряжения соответствующего руководителя органа местного самоуправления.</w:t>
      </w:r>
      <w:proofErr w:type="gramEnd"/>
      <w:r w:rsidRPr="00C05E54">
        <w:rPr>
          <w:rFonts w:eastAsiaTheme="minorEastAsia"/>
          <w:bCs/>
        </w:rPr>
        <w:t xml:space="preserve"> 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 соответствующего руководителя органа местного самоуправления. </w:t>
      </w:r>
    </w:p>
    <w:p w:rsidR="005B47F6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Единовременные премии главе местной администрации выплачиваются на основании соответствующего решения </w:t>
      </w:r>
      <w:r>
        <w:rPr>
          <w:rFonts w:eastAsiaTheme="minorEastAsia"/>
          <w:bCs/>
        </w:rPr>
        <w:t>муниципального с</w:t>
      </w:r>
      <w:r w:rsidRPr="00C05E54">
        <w:rPr>
          <w:rFonts w:eastAsiaTheme="minorEastAsia"/>
          <w:bCs/>
        </w:rPr>
        <w:t>овета.</w:t>
      </w:r>
    </w:p>
    <w:p w:rsidR="00C05E54" w:rsidRDefault="00C05E54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0544E9" w:rsidRDefault="000544E9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3.2.5. Материальная помощь</w:t>
      </w:r>
      <w:r w:rsidR="0007237F">
        <w:rPr>
          <w:rFonts w:eastAsiaTheme="minorEastAsia"/>
          <w:bCs/>
        </w:rPr>
        <w:t>.</w:t>
      </w:r>
    </w:p>
    <w:p w:rsidR="000544E9" w:rsidRDefault="000544E9" w:rsidP="006A161F">
      <w:pPr>
        <w:pStyle w:val="a4"/>
        <w:spacing w:before="0" w:beforeAutospacing="0" w:after="0" w:afterAutospacing="0"/>
        <w:ind w:firstLine="709"/>
        <w:jc w:val="both"/>
      </w:pPr>
    </w:p>
    <w:p w:rsidR="006307F7" w:rsidRDefault="006307F7" w:rsidP="006A161F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 w:rsidRPr="006307F7">
        <w:t xml:space="preserve"> </w:t>
      </w:r>
      <w:r>
        <w:t xml:space="preserve">муниципального служащего </w:t>
      </w:r>
      <w:r w:rsidRPr="006307F7">
        <w:t>и оформляется распоряжением соответствующего руководителя органа местного самоуправления</w:t>
      </w:r>
      <w:r w:rsidR="0007237F">
        <w:t>.</w:t>
      </w:r>
    </w:p>
    <w:p w:rsidR="006307F7" w:rsidRDefault="006307F7" w:rsidP="006A161F">
      <w:pPr>
        <w:pStyle w:val="a4"/>
        <w:spacing w:before="0" w:beforeAutospacing="0" w:after="0" w:afterAutospacing="0"/>
        <w:ind w:firstLine="709"/>
        <w:jc w:val="both"/>
      </w:pPr>
    </w:p>
    <w:p w:rsidR="000544E9" w:rsidRDefault="000544E9" w:rsidP="000B7939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EB759C" w:rsidRDefault="00EB759C" w:rsidP="00EB759C">
      <w:pPr>
        <w:pStyle w:val="a4"/>
        <w:spacing w:before="0" w:beforeAutospacing="0" w:after="0" w:afterAutospacing="0"/>
        <w:ind w:firstLine="709"/>
        <w:jc w:val="both"/>
      </w:pPr>
      <w:r>
        <w:t>Размер материальной помощи составляет три должностных оклада в год.</w:t>
      </w:r>
    </w:p>
    <w:p w:rsidR="000544E9" w:rsidRDefault="000544E9" w:rsidP="000B7939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Pr="00EB759C" w:rsidRDefault="000544E9" w:rsidP="00EB759C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EB759C">
        <w:rPr>
          <w:rFonts w:eastAsiaTheme="minorEastAsia"/>
          <w:bCs/>
        </w:rPr>
        <w:t>Порядок, место и сроки выплаты денежного содержания.</w:t>
      </w:r>
      <w:r w:rsidR="004B7876" w:rsidRPr="00EB759C">
        <w:rPr>
          <w:rFonts w:eastAsiaTheme="minorEastAsia"/>
          <w:bCs/>
        </w:rPr>
        <w:t xml:space="preserve"> </w:t>
      </w:r>
    </w:p>
    <w:p w:rsidR="000544E9" w:rsidRDefault="006F48F6" w:rsidP="000B79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Денежное</w:t>
      </w:r>
      <w:r w:rsidR="005B47F6">
        <w:rPr>
          <w:rFonts w:eastAsiaTheme="minorEastAsia"/>
        </w:rPr>
        <w:t xml:space="preserve"> содержание </w:t>
      </w:r>
      <w:r w:rsidR="00280EF9">
        <w:rPr>
          <w:rFonts w:eastAsiaTheme="minorEastAsia"/>
        </w:rPr>
        <w:t xml:space="preserve">муниципальным служащим </w:t>
      </w:r>
      <w:r w:rsidR="000544E9">
        <w:rPr>
          <w:rFonts w:eastAsiaTheme="minorEastAsia"/>
        </w:rPr>
        <w:t>выплачивается в денежной форме в валюте Российской Федерации, (в рублях) путем перечисления на указанный им счет в банке.</w:t>
      </w:r>
    </w:p>
    <w:p w:rsidR="000544E9" w:rsidRDefault="000544E9" w:rsidP="000B7939">
      <w:pPr>
        <w:autoSpaceDE w:val="0"/>
        <w:autoSpaceDN w:val="0"/>
        <w:adjustRightInd w:val="0"/>
        <w:ind w:firstLine="307"/>
        <w:jc w:val="both"/>
        <w:rPr>
          <w:rFonts w:eastAsiaTheme="minorEastAsia"/>
        </w:rPr>
      </w:pPr>
      <w:r>
        <w:rPr>
          <w:rFonts w:eastAsiaTheme="minorEastAsia"/>
        </w:rPr>
        <w:t xml:space="preserve">Денежное содержание </w:t>
      </w:r>
      <w:r w:rsidR="00280EF9">
        <w:rPr>
          <w:rFonts w:eastAsiaTheme="minorEastAsia"/>
        </w:rPr>
        <w:t xml:space="preserve">муниципальным служащим </w:t>
      </w:r>
      <w:r>
        <w:rPr>
          <w:rFonts w:eastAsiaTheme="minorEastAsia"/>
        </w:rPr>
        <w:t>выплачивается непосредственно ему, за исключением случаев, когда иной способ выплаты предусматривается законом.</w:t>
      </w:r>
    </w:p>
    <w:p w:rsidR="000544E9" w:rsidRDefault="000544E9" w:rsidP="000B79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Денежное содержание выплачивается два раза в месяц, за первую половину месяца двадцать второго числа, за вторую половину седьмого числа. При совпадении дня </w:t>
      </w:r>
      <w:r>
        <w:rPr>
          <w:rFonts w:eastAsiaTheme="minorEastAsia"/>
          <w:bCs/>
          <w:spacing w:val="-20"/>
        </w:rPr>
        <w:t>выплаты  с  выходными</w:t>
      </w:r>
      <w:r w:rsidR="005B47F6">
        <w:rPr>
          <w:rFonts w:eastAsiaTheme="minorEastAsia"/>
        </w:rPr>
        <w:t xml:space="preserve"> или нерабочим </w:t>
      </w:r>
      <w:r>
        <w:rPr>
          <w:rFonts w:eastAsiaTheme="minorEastAsia"/>
        </w:rPr>
        <w:t>праздничным  днем   выплата  денежного содержания изводится накануне этого дня.</w:t>
      </w:r>
    </w:p>
    <w:p w:rsidR="000544E9" w:rsidRDefault="000544E9" w:rsidP="000B7939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sectPr w:rsidR="0005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544E9"/>
    <w:rsid w:val="0007237F"/>
    <w:rsid w:val="000856A9"/>
    <w:rsid w:val="000B7939"/>
    <w:rsid w:val="001F752C"/>
    <w:rsid w:val="00280EF9"/>
    <w:rsid w:val="0034016B"/>
    <w:rsid w:val="00361B2D"/>
    <w:rsid w:val="0040438C"/>
    <w:rsid w:val="004B51A7"/>
    <w:rsid w:val="004B7876"/>
    <w:rsid w:val="004C3D18"/>
    <w:rsid w:val="004E214D"/>
    <w:rsid w:val="00573737"/>
    <w:rsid w:val="005B47F6"/>
    <w:rsid w:val="006307F7"/>
    <w:rsid w:val="006A161F"/>
    <w:rsid w:val="006F48F6"/>
    <w:rsid w:val="007D7AD6"/>
    <w:rsid w:val="007F0240"/>
    <w:rsid w:val="008E29BA"/>
    <w:rsid w:val="009C5B94"/>
    <w:rsid w:val="00A24338"/>
    <w:rsid w:val="00AB67D4"/>
    <w:rsid w:val="00B95842"/>
    <w:rsid w:val="00C05E54"/>
    <w:rsid w:val="00DE2AE0"/>
    <w:rsid w:val="00E84FF5"/>
    <w:rsid w:val="00EB759C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2022-04-21T12:27:00Z</cp:lastPrinted>
  <dcterms:created xsi:type="dcterms:W3CDTF">2022-04-13T09:15:00Z</dcterms:created>
  <dcterms:modified xsi:type="dcterms:W3CDTF">2022-04-21T12:27:00Z</dcterms:modified>
</cp:coreProperties>
</file>