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Pr="0002305D" w:rsidRDefault="000414E8" w:rsidP="000414E8">
      <w:pPr>
        <w:jc w:val="center"/>
      </w:pPr>
      <w:r>
        <w:rPr>
          <w:b/>
        </w:rPr>
        <w:t>РЕШЕНИЕ</w:t>
      </w:r>
    </w:p>
    <w:p w:rsidR="004D31AA" w:rsidRDefault="004D31AA" w:rsidP="00CF19C8">
      <w:pPr>
        <w:rPr>
          <w:b/>
        </w:rPr>
      </w:pPr>
    </w:p>
    <w:p w:rsidR="004D31AA" w:rsidRDefault="004D31AA" w:rsidP="00CF19C8">
      <w:pPr>
        <w:rPr>
          <w:b/>
        </w:rPr>
      </w:pPr>
    </w:p>
    <w:p w:rsidR="004D31AA" w:rsidRDefault="004D31AA" w:rsidP="00CF19C8">
      <w:pPr>
        <w:rPr>
          <w:b/>
        </w:rPr>
      </w:pPr>
    </w:p>
    <w:p w:rsidR="004D31AA" w:rsidRDefault="004D31AA" w:rsidP="00CF19C8"/>
    <w:p w:rsidR="00CF19C8" w:rsidRPr="000414E8" w:rsidRDefault="000414E8" w:rsidP="00CF19C8">
      <w:pPr>
        <w:rPr>
          <w:sz w:val="28"/>
          <w:szCs w:val="28"/>
        </w:rPr>
      </w:pPr>
      <w:proofErr w:type="gramStart"/>
      <w:r>
        <w:t>от</w:t>
      </w:r>
      <w:proofErr w:type="gramEnd"/>
      <w:r>
        <w:t xml:space="preserve">  </w:t>
      </w:r>
      <w:r>
        <w:rPr>
          <w:u w:val="single"/>
        </w:rPr>
        <w:t xml:space="preserve">    </w:t>
      </w:r>
      <w:r>
        <w:t xml:space="preserve">  </w:t>
      </w:r>
      <w:r>
        <w:rPr>
          <w:u w:val="single"/>
        </w:rPr>
        <w:t xml:space="preserve">              </w:t>
      </w:r>
      <w:r>
        <w:t xml:space="preserve">  </w:t>
      </w:r>
      <w:r>
        <w:rPr>
          <w:u w:val="single"/>
        </w:rPr>
        <w:t xml:space="preserve">       </w:t>
      </w:r>
      <w:r w:rsidR="004D31AA">
        <w:t xml:space="preserve">   </w:t>
      </w:r>
      <w:r>
        <w:t xml:space="preserve">  </w:t>
      </w:r>
      <w:r w:rsidR="004D31AA">
        <w:t xml:space="preserve">№ </w:t>
      </w:r>
      <w:r>
        <w:rPr>
          <w:u w:val="single"/>
        </w:rPr>
        <w:t xml:space="preserve">       </w:t>
      </w:r>
      <w:r w:rsidR="004D31AA">
        <w:t xml:space="preserve">                                                                                     </w:t>
      </w:r>
      <w:r w:rsidR="004D31AA" w:rsidRPr="000414E8">
        <w:rPr>
          <w:sz w:val="28"/>
          <w:szCs w:val="28"/>
        </w:rPr>
        <w:t>Проект</w:t>
      </w:r>
    </w:p>
    <w:p w:rsidR="004D31AA" w:rsidRDefault="004D31AA" w:rsidP="00CF19C8"/>
    <w:p w:rsidR="00CF19C8" w:rsidRDefault="00CF19C8" w:rsidP="00CF19C8">
      <w:pPr>
        <w:autoSpaceDE w:val="0"/>
        <w:autoSpaceDN w:val="0"/>
        <w:adjustRightInd w:val="0"/>
        <w:jc w:val="both"/>
      </w:pPr>
    </w:p>
    <w:p w:rsidR="00CF19C8" w:rsidRPr="00404A81" w:rsidRDefault="00CF19C8" w:rsidP="004D31AA">
      <w:pPr>
        <w:autoSpaceDE w:val="0"/>
        <w:autoSpaceDN w:val="0"/>
        <w:adjustRightInd w:val="0"/>
        <w:rPr>
          <w:b/>
        </w:rPr>
      </w:pPr>
      <w:r>
        <w:rPr>
          <w:b/>
        </w:rPr>
        <w:t>«О принятии 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4D31AA">
      <w:pPr>
        <w:autoSpaceDE w:val="0"/>
        <w:autoSpaceDN w:val="0"/>
        <w:adjustRightInd w:val="0"/>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4D31AA">
      <w:pPr>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w:t>
      </w:r>
      <w:proofErr w:type="gramEnd"/>
      <w:r>
        <w:t xml:space="preserve"> муниципального образования Санкт-Петербурга посёлок Тярлево в целях реализации прав граждан и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DC5C97" w:rsidRDefault="00CF19C8" w:rsidP="00DC5C97">
      <w:pPr>
        <w:autoSpaceDE w:val="0"/>
        <w:autoSpaceDN w:val="0"/>
        <w:adjustRightInd w:val="0"/>
        <w:jc w:val="both"/>
      </w:pPr>
      <w:r>
        <w:tab/>
        <w:t xml:space="preserve">1. </w:t>
      </w:r>
      <w:r w:rsidR="00DC5C97">
        <w:t xml:space="preserve">Решение «О принятии Положения об официальном сайте внутригородского </w:t>
      </w:r>
    </w:p>
    <w:p w:rsidR="00DC5C97" w:rsidRDefault="00DC5C97" w:rsidP="00DC5C97">
      <w:pPr>
        <w:autoSpaceDE w:val="0"/>
        <w:autoSpaceDN w:val="0"/>
        <w:adjustRightInd w:val="0"/>
        <w:jc w:val="both"/>
      </w:pPr>
      <w:r>
        <w:t xml:space="preserve">муниципального образования Санкт-Петербурга посёлок Тярлево» отменить, Принять Положение об официальном сайте внутригородского муниципального образования Санкт-Петербурга посёлок Тярлево в новой редакции.  </w:t>
      </w:r>
    </w:p>
    <w:p w:rsidR="00404A81" w:rsidRDefault="00CF19C8" w:rsidP="00DC5C97">
      <w:pPr>
        <w:autoSpaceDE w:val="0"/>
        <w:autoSpaceDN w:val="0"/>
        <w:adjustRightInd w:val="0"/>
        <w:jc w:val="both"/>
      </w:pPr>
      <w:bookmarkStart w:id="0" w:name="_GoBack"/>
      <w:bookmarkEnd w:id="0"/>
      <w:r>
        <w:rPr>
          <w:color w:val="000000"/>
        </w:rPr>
        <w:tab/>
      </w:r>
      <w:r w:rsidR="00404A81">
        <w:rPr>
          <w:color w:val="000000"/>
        </w:rPr>
        <w:t xml:space="preserve">2. </w:t>
      </w:r>
      <w:r w:rsidR="00404A81">
        <w:t>Настоящее Решение вступает в силу после его официального опубликования в периодическом печатном издании «</w:t>
      </w:r>
      <w:proofErr w:type="spellStart"/>
      <w:r w:rsidR="00404A81">
        <w:t>Тярлевский</w:t>
      </w:r>
      <w:proofErr w:type="spellEnd"/>
      <w:r w:rsidR="00404A81">
        <w:t xml:space="preserve"> Вестник» и подлежит обнародованию на сайте муниципального образования: </w:t>
      </w:r>
      <w:hyperlink r:id="rId5" w:history="1">
        <w:r w:rsidR="00404A81">
          <w:rPr>
            <w:rStyle w:val="a4"/>
            <w:rFonts w:asciiTheme="minorHAnsi" w:eastAsiaTheme="minorHAnsi" w:hAnsiTheme="minorHAnsi" w:cstheme="minorBidi"/>
            <w:lang w:val="en-US" w:eastAsia="ar-SA"/>
          </w:rPr>
          <w:t>http</w:t>
        </w:r>
        <w:r w:rsidR="00404A81">
          <w:rPr>
            <w:rStyle w:val="a4"/>
            <w:rFonts w:asciiTheme="minorHAnsi" w:eastAsiaTheme="minorHAnsi" w:hAnsiTheme="minorHAnsi" w:cstheme="minorBidi"/>
            <w:lang w:eastAsia="ar-SA"/>
          </w:rPr>
          <w:t>://</w:t>
        </w:r>
        <w:r w:rsidR="00404A81">
          <w:rPr>
            <w:rStyle w:val="a4"/>
            <w:rFonts w:asciiTheme="minorHAnsi" w:eastAsiaTheme="minorHAnsi" w:hAnsiTheme="minorHAnsi" w:cstheme="minorBidi"/>
            <w:lang w:val="en-US" w:eastAsia="ar-SA"/>
          </w:rPr>
          <w:t>www</w:t>
        </w:r>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mo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tyarlevo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ru</w:t>
        </w:r>
        <w:proofErr w:type="spellEnd"/>
      </w:hyperlink>
      <w:r w:rsidR="00404A81">
        <w:rPr>
          <w:rFonts w:asciiTheme="minorHAnsi" w:eastAsiaTheme="minorHAnsi" w:hAnsiTheme="minorHAnsi" w:cstheme="minorBidi"/>
          <w:lang w:eastAsia="ar-SA"/>
        </w:rPr>
        <w:t>.</w:t>
      </w:r>
    </w:p>
    <w:p w:rsidR="00404A81" w:rsidRDefault="00404A81" w:rsidP="00404A81">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оставляю за собой.</w:t>
      </w:r>
    </w:p>
    <w:p w:rsidR="00CF19C8" w:rsidRDefault="00CF19C8" w:rsidP="00404A81">
      <w:pPr>
        <w:autoSpaceDE w:val="0"/>
        <w:autoSpaceDN w:val="0"/>
        <w:adjustRightInd w:val="0"/>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1</w:t>
      </w: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Муниципального Совета</w:t>
      </w:r>
    </w:p>
    <w:p w:rsidR="00CF19C8" w:rsidRDefault="00360030"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 xml:space="preserve">от                  № </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w:t>
      </w:r>
      <w:r w:rsidR="00D2368D">
        <w:rPr>
          <w:rFonts w:eastAsiaTheme="minorHAnsi"/>
          <w:sz w:val="23"/>
          <w:szCs w:val="23"/>
          <w:lang w:eastAsia="en-US"/>
        </w:rPr>
        <w:t>.9</w:t>
      </w:r>
      <w:r>
        <w:rPr>
          <w:rFonts w:eastAsiaTheme="minorHAnsi"/>
          <w:sz w:val="23"/>
          <w:szCs w:val="23"/>
          <w:lang w:eastAsia="en-US"/>
        </w:rPr>
        <w:t>.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D2368D" w:rsidP="00515BC9">
      <w:pPr>
        <w:autoSpaceDE w:val="0"/>
        <w:autoSpaceDN w:val="0"/>
        <w:adjustRightInd w:val="0"/>
        <w:jc w:val="both"/>
        <w:rPr>
          <w:rFonts w:eastAsiaTheme="minorHAnsi"/>
          <w:sz w:val="23"/>
          <w:szCs w:val="23"/>
          <w:lang w:eastAsia="en-US"/>
        </w:rPr>
      </w:pPr>
      <w:r>
        <w:rPr>
          <w:rFonts w:eastAsiaTheme="minorHAnsi"/>
          <w:sz w:val="23"/>
          <w:szCs w:val="23"/>
          <w:lang w:eastAsia="en-US"/>
        </w:rPr>
        <w:tab/>
        <w:t>1.10</w:t>
      </w:r>
      <w:r w:rsidR="00CF19C8">
        <w:rPr>
          <w:rFonts w:eastAsiaTheme="minorHAnsi"/>
          <w:sz w:val="23"/>
          <w:szCs w:val="23"/>
          <w:lang w:eastAsia="en-US"/>
        </w:rPr>
        <w:t>.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w:t>
      </w:r>
      <w:r w:rsidR="00CF19C8">
        <w:rPr>
          <w:rFonts w:eastAsiaTheme="minorHAnsi"/>
          <w:sz w:val="23"/>
          <w:szCs w:val="23"/>
          <w:lang w:eastAsia="en-US"/>
        </w:rPr>
        <w:t>.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w:t>
      </w:r>
      <w:r w:rsidR="00CF19C8">
        <w:rPr>
          <w:rFonts w:eastAsiaTheme="minorHAnsi"/>
          <w:sz w:val="23"/>
          <w:szCs w:val="23"/>
          <w:lang w:eastAsia="en-US"/>
        </w:rPr>
        <w:t>. Размещение рекламной информации, а также любое иное использование официального сайта в коммерческих целях не допускается.</w:t>
      </w:r>
    </w:p>
    <w:p w:rsidR="00CF19C8" w:rsidRDefault="00D2368D"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1.13</w:t>
      </w:r>
      <w:r w:rsidR="00CF19C8">
        <w:rPr>
          <w:rFonts w:eastAsiaTheme="minorHAnsi"/>
          <w:sz w:val="23"/>
          <w:szCs w:val="23"/>
          <w:lang w:eastAsia="en-US"/>
        </w:rPr>
        <w:t>.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tab/>
        <w:t>4.2. 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4.4. Срок публикации информации на сайте определяется действующим законодательством Российской Федерации, законами и иными нормативными правовыми </w:t>
      </w:r>
      <w:r>
        <w:rPr>
          <w:rFonts w:eastAsiaTheme="minorHAnsi"/>
          <w:sz w:val="23"/>
          <w:szCs w:val="23"/>
          <w:lang w:eastAsia="en-US"/>
        </w:rPr>
        <w:lastRenderedPageBreak/>
        <w:t>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CF19C8" w:rsidP="00CF19C8">
      <w:pPr>
        <w:ind w:left="4956"/>
        <w:jc w:val="right"/>
        <w:rPr>
          <w:rFonts w:eastAsiaTheme="minorHAnsi"/>
          <w:sz w:val="20"/>
          <w:szCs w:val="20"/>
          <w:lang w:eastAsia="en-US"/>
        </w:rPr>
      </w:pPr>
      <w:r>
        <w:rPr>
          <w:rFonts w:eastAsiaTheme="minorHAnsi"/>
          <w:sz w:val="20"/>
          <w:szCs w:val="20"/>
          <w:lang w:eastAsia="en-US"/>
        </w:rPr>
        <w:t>Приложение 1</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 xml:space="preserve">к Положению </w:t>
      </w:r>
    </w:p>
    <w:p w:rsidR="00CF19C8" w:rsidRDefault="00360030" w:rsidP="00CF19C8">
      <w:pPr>
        <w:ind w:left="4956"/>
        <w:jc w:val="right"/>
        <w:rPr>
          <w:rFonts w:eastAsiaTheme="minorHAnsi"/>
          <w:sz w:val="20"/>
          <w:szCs w:val="20"/>
          <w:lang w:eastAsia="en-US"/>
        </w:rPr>
      </w:pPr>
      <w:r>
        <w:rPr>
          <w:rFonts w:eastAsiaTheme="minorHAnsi"/>
          <w:sz w:val="20"/>
          <w:szCs w:val="20"/>
          <w:lang w:eastAsia="en-US"/>
        </w:rPr>
        <w:t xml:space="preserve">от              №     </w:t>
      </w:r>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sectPr w:rsidR="0075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02305D"/>
    <w:rsid w:val="000414E8"/>
    <w:rsid w:val="00360030"/>
    <w:rsid w:val="00404A81"/>
    <w:rsid w:val="004D31AA"/>
    <w:rsid w:val="00515BC9"/>
    <w:rsid w:val="006C29D3"/>
    <w:rsid w:val="00753296"/>
    <w:rsid w:val="007E4994"/>
    <w:rsid w:val="00CF19C8"/>
    <w:rsid w:val="00D2368D"/>
    <w:rsid w:val="00D64364"/>
    <w:rsid w:val="00DC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yarl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14</cp:revision>
  <cp:lastPrinted>2017-02-13T12:55:00Z</cp:lastPrinted>
  <dcterms:created xsi:type="dcterms:W3CDTF">2016-07-04T09:45:00Z</dcterms:created>
  <dcterms:modified xsi:type="dcterms:W3CDTF">2017-02-28T14:15:00Z</dcterms:modified>
</cp:coreProperties>
</file>