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FD7E56" w:rsidRPr="00FD7E56" w:rsidRDefault="007141B5" w:rsidP="00FD7E56">
      <w:pPr>
        <w:jc w:val="right"/>
        <w:rPr>
          <w:sz w:val="22"/>
          <w:szCs w:val="22"/>
        </w:rPr>
      </w:pPr>
      <w:r w:rsidRPr="00811C2B">
        <w:rPr>
          <w:sz w:val="24"/>
          <w:szCs w:val="24"/>
        </w:rPr>
        <w:t xml:space="preserve"> </w:t>
      </w:r>
      <w:r w:rsidR="00FD7E56" w:rsidRPr="00FD7E56">
        <w:rPr>
          <w:sz w:val="22"/>
          <w:szCs w:val="22"/>
        </w:rPr>
        <w:t>от 28.10.2021 № 25</w:t>
      </w:r>
    </w:p>
    <w:p w:rsidR="001C1684" w:rsidRDefault="001C1684" w:rsidP="001C1684">
      <w:pPr>
        <w:jc w:val="right"/>
      </w:pP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2022 год</w:t>
      </w:r>
      <w:r>
        <w:rPr>
          <w:b/>
          <w:sz w:val="24"/>
          <w:szCs w:val="24"/>
        </w:rPr>
        <w:t xml:space="preserve"> и плановый период 2023 и 2024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 xml:space="preserve"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Pr="00644744" w:rsidRDefault="007141B5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Pr="00404DEB" w:rsidRDefault="00404DEB" w:rsidP="00404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4DEB">
              <w:rPr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C55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2023 и 2024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141B5" w:rsidRPr="00174CBC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2022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b/>
                <w:sz w:val="24"/>
                <w:szCs w:val="24"/>
              </w:rPr>
              <w:t>–</w:t>
            </w:r>
            <w:r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12,6 тыс. руб.</w:t>
            </w:r>
          </w:p>
          <w:p w:rsidR="008B0BA3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2) На 2023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2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3) На 2024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8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404DEB" w:rsidRPr="008B0BA3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8B0BA3">
              <w:rPr>
                <w:b/>
                <w:color w:val="000000"/>
                <w:sz w:val="24"/>
                <w:szCs w:val="24"/>
              </w:rPr>
              <w:t> </w:t>
            </w:r>
            <w:r w:rsidRPr="008B0BA3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990 0113 0920201000 244 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516DAB" w:rsidRP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516DAB">
              <w:rPr>
                <w:sz w:val="24"/>
                <w:szCs w:val="24"/>
              </w:rPr>
              <w:t xml:space="preserve">Объем финансирования отдельных мероприятий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Уставом внутригородского муниципального образования Санкт-Петербурга поселок </w:t>
      </w:r>
      <w:proofErr w:type="spellStart"/>
      <w:r w:rsidRPr="002C21C7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2C21C7"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 w:rsidRPr="002C21C7">
        <w:rPr>
          <w:rStyle w:val="blk"/>
          <w:sz w:val="24"/>
          <w:szCs w:val="24"/>
        </w:rPr>
        <w:t>Тярлево</w:t>
      </w:r>
      <w:proofErr w:type="spellEnd"/>
      <w:r w:rsidRPr="002C21C7">
        <w:rPr>
          <w:rStyle w:val="blk"/>
          <w:sz w:val="24"/>
          <w:szCs w:val="24"/>
        </w:rPr>
        <w:t xml:space="preserve">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 xml:space="preserve">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F23558">
        <w:rPr>
          <w:sz w:val="24"/>
          <w:szCs w:val="24"/>
        </w:rPr>
        <w:t>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2022 год и плановый период 2023 и 2024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lastRenderedPageBreak/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2022 году </w:t>
      </w:r>
      <w:r w:rsidRPr="008B0BA3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8B0BA3" w:rsidRPr="008B0BA3">
        <w:rPr>
          <w:rFonts w:ascii="Times New Roman" w:hAnsi="Times New Roman" w:cs="Times New Roman"/>
          <w:b/>
          <w:sz w:val="24"/>
          <w:szCs w:val="24"/>
        </w:rPr>
        <w:t>12,6 тыс. руб</w:t>
      </w:r>
      <w:r w:rsidRPr="008B0BA3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516DAB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2022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276"/>
        <w:gridCol w:w="1701"/>
        <w:gridCol w:w="921"/>
        <w:gridCol w:w="72"/>
        <w:gridCol w:w="141"/>
        <w:gridCol w:w="709"/>
        <w:gridCol w:w="1559"/>
      </w:tblGrid>
      <w:tr w:rsidR="00FD2AB8" w:rsidRPr="00644744" w:rsidTr="008B0BA3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FD2AB8" w:rsidRPr="00FA062F" w:rsidRDefault="00FD2AB8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8B0BA3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8B0BA3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8B0BA3">
        <w:trPr>
          <w:trHeight w:val="2380"/>
        </w:trPr>
        <w:tc>
          <w:tcPr>
            <w:tcW w:w="426" w:type="dxa"/>
          </w:tcPr>
          <w:p w:rsidR="00754B0E" w:rsidRPr="00FA062F" w:rsidRDefault="00754B0E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54B0E" w:rsidRPr="00FA062F" w:rsidRDefault="00754B0E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754B0E" w:rsidRPr="00FA062F" w:rsidRDefault="00754B0E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54B0E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173,30</w:t>
            </w:r>
          </w:p>
        </w:tc>
        <w:tc>
          <w:tcPr>
            <w:tcW w:w="709" w:type="dxa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  <w:tc>
          <w:tcPr>
            <w:tcW w:w="1559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8B0BA3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gridSpan w:val="3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10000,00</w:t>
            </w:r>
          </w:p>
        </w:tc>
        <w:tc>
          <w:tcPr>
            <w:tcW w:w="709" w:type="dxa"/>
          </w:tcPr>
          <w:p w:rsidR="008B0BA3" w:rsidRDefault="008B0BA3" w:rsidP="008B0BA3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10,0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8B0BA3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84"/>
        </w:trPr>
        <w:tc>
          <w:tcPr>
            <w:tcW w:w="426" w:type="dxa"/>
          </w:tcPr>
          <w:p w:rsidR="007141B5" w:rsidRPr="00FA062F" w:rsidRDefault="008B0BA3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8B0BA3">
        <w:trPr>
          <w:trHeight w:val="2184"/>
        </w:trPr>
        <w:tc>
          <w:tcPr>
            <w:tcW w:w="426" w:type="dxa"/>
          </w:tcPr>
          <w:p w:rsidR="00B31B86" w:rsidRPr="00FA062F" w:rsidRDefault="008B0BA3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B31B86" w:rsidRPr="00FA062F" w:rsidRDefault="00B31B86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31B86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699"/>
        </w:trPr>
        <w:tc>
          <w:tcPr>
            <w:tcW w:w="426" w:type="dxa"/>
          </w:tcPr>
          <w:p w:rsidR="007141B5" w:rsidRPr="00FA062F" w:rsidRDefault="008B0BA3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7141B5" w:rsidRPr="00FA062F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D53220" w:rsidP="008B0BA3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8B0BA3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8B0BA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D53220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8B0BA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размещается общедоступная </w:t>
            </w:r>
            <w:r w:rsidRPr="00FA062F">
              <w:rPr>
                <w:bCs/>
              </w:rPr>
              <w:lastRenderedPageBreak/>
              <w:t>информация, а также данные,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8B0BA3">
        <w:trPr>
          <w:trHeight w:val="2380"/>
        </w:trPr>
        <w:tc>
          <w:tcPr>
            <w:tcW w:w="426" w:type="dxa"/>
          </w:tcPr>
          <w:p w:rsidR="00250C4A" w:rsidRPr="00FA062F" w:rsidRDefault="00250C4A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B0BA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Pr="00FA062F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775B7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t>12,6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 xml:space="preserve">2023 году составит  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>1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3,2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8B0BA3" w:rsidRPr="00754B0E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2023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702"/>
        <w:gridCol w:w="1559"/>
        <w:gridCol w:w="850"/>
        <w:gridCol w:w="142"/>
        <w:gridCol w:w="709"/>
        <w:gridCol w:w="1417"/>
      </w:tblGrid>
      <w:tr w:rsidR="00516DAB" w:rsidRPr="00644744" w:rsidTr="00174CBC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516DAB" w:rsidRPr="00FA062F" w:rsidRDefault="00516DAB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16DAB" w:rsidRPr="00644744" w:rsidTr="00174CBC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174CBC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8B0BA3" w:rsidRPr="00FA062F" w:rsidRDefault="008B0BA3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8B0BA3" w:rsidRPr="00FA062F" w:rsidRDefault="008B0BA3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8B0BA3" w:rsidRPr="00FA062F" w:rsidRDefault="008B0BA3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Pr="00FA062F" w:rsidRDefault="008B0BA3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8B0BA3" w:rsidRPr="00FA062F" w:rsidRDefault="008B0BA3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8B0BA3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0BA3" w:rsidRPr="00FA062F" w:rsidRDefault="008B0BA3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8B0BA3" w:rsidRPr="00FA062F" w:rsidRDefault="008B0BA3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180,23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1417" w:type="dxa"/>
          </w:tcPr>
          <w:p w:rsidR="008B0BA3" w:rsidRPr="00644744" w:rsidRDefault="008B0BA3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702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850" w:type="dxa"/>
          </w:tcPr>
          <w:p w:rsidR="008B0BA3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851" w:type="dxa"/>
            <w:gridSpan w:val="2"/>
          </w:tcPr>
          <w:p w:rsidR="008B0BA3" w:rsidRDefault="008B0BA3" w:rsidP="00174CBC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337EDF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t>13,2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Pr="00754B0E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174CBC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13,8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2024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142"/>
        <w:gridCol w:w="709"/>
        <w:gridCol w:w="1417"/>
      </w:tblGrid>
      <w:tr w:rsidR="008B0BA3" w:rsidRPr="00644744" w:rsidTr="00174CBC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174C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174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174CBC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</w:t>
            </w:r>
            <w:proofErr w:type="gramStart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.р</w:t>
            </w:r>
            <w:proofErr w:type="gramEnd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174CBC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174CBC" w:rsidRPr="00644744" w:rsidTr="00174CBC">
        <w:trPr>
          <w:trHeight w:val="2380"/>
        </w:trPr>
        <w:tc>
          <w:tcPr>
            <w:tcW w:w="426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174CBC" w:rsidRPr="00FA062F" w:rsidRDefault="00174CB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174CBC" w:rsidRPr="00FA062F" w:rsidRDefault="00174CB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174CBC" w:rsidRPr="00FA062F" w:rsidRDefault="00174CB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174CBC" w:rsidRPr="00FA062F" w:rsidRDefault="00174CB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174CBC" w:rsidRPr="00FA062F" w:rsidRDefault="00174CB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4CBC" w:rsidRPr="00FA062F" w:rsidRDefault="00174CBC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174CBC" w:rsidRPr="00FA062F" w:rsidRDefault="00174CBC" w:rsidP="008B0BA3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187,43</w:t>
            </w:r>
          </w:p>
        </w:tc>
        <w:tc>
          <w:tcPr>
            <w:tcW w:w="851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1417" w:type="dxa"/>
          </w:tcPr>
          <w:p w:rsidR="00174CBC" w:rsidRPr="00644744" w:rsidRDefault="00174CB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174CBC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816</w:t>
            </w: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10,9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в заседаниях Коллегии администрации Пушкинского района  Санкт-Петербурга по вопросам противодействия терроризму и экстремизму, а также </w:t>
            </w:r>
            <w:r w:rsidRPr="00FA062F">
              <w:rPr>
                <w:rFonts w:cstheme="minorBidi"/>
              </w:rPr>
              <w:lastRenderedPageBreak/>
              <w:t>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</w:t>
            </w:r>
            <w:r w:rsidRPr="00F60272">
              <w:rPr>
                <w:bCs/>
              </w:rPr>
              <w:lastRenderedPageBreak/>
              <w:t>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96BA3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t>13,8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AD4F16">
        <w:rPr>
          <w:sz w:val="24"/>
          <w:szCs w:val="24"/>
        </w:rPr>
        <w:t xml:space="preserve">эффективности муниципальных программ местной администрации </w:t>
      </w:r>
      <w:r w:rsidR="006E5B8B">
        <w:rPr>
          <w:sz w:val="24"/>
          <w:szCs w:val="24"/>
        </w:rPr>
        <w:t xml:space="preserve">внутригородского </w:t>
      </w:r>
      <w:r w:rsidRPr="00AD4F16">
        <w:rPr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sz w:val="24"/>
          <w:szCs w:val="24"/>
        </w:rPr>
        <w:t xml:space="preserve"> поселок </w:t>
      </w:r>
      <w:proofErr w:type="spellStart"/>
      <w:r w:rsidRPr="00AD4F16">
        <w:rPr>
          <w:sz w:val="24"/>
          <w:szCs w:val="24"/>
        </w:rPr>
        <w:t>Тярлево</w:t>
      </w:r>
      <w:proofErr w:type="spellEnd"/>
      <w:r w:rsidRPr="00AD4F16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7B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8029F"/>
    <w:rsid w:val="000C553D"/>
    <w:rsid w:val="000D7012"/>
    <w:rsid w:val="000E68B5"/>
    <w:rsid w:val="000F4DFE"/>
    <w:rsid w:val="00154A1B"/>
    <w:rsid w:val="00171C57"/>
    <w:rsid w:val="00174CBC"/>
    <w:rsid w:val="0017590C"/>
    <w:rsid w:val="00186A92"/>
    <w:rsid w:val="00190380"/>
    <w:rsid w:val="001A23AD"/>
    <w:rsid w:val="001B7FD5"/>
    <w:rsid w:val="001C1684"/>
    <w:rsid w:val="0020309E"/>
    <w:rsid w:val="00222FDC"/>
    <w:rsid w:val="00230885"/>
    <w:rsid w:val="002313B1"/>
    <w:rsid w:val="00250C4A"/>
    <w:rsid w:val="0026345B"/>
    <w:rsid w:val="00275204"/>
    <w:rsid w:val="002A2AA7"/>
    <w:rsid w:val="002C21C7"/>
    <w:rsid w:val="002C7A39"/>
    <w:rsid w:val="00300C1B"/>
    <w:rsid w:val="00304A1C"/>
    <w:rsid w:val="00334B73"/>
    <w:rsid w:val="00361810"/>
    <w:rsid w:val="003765DD"/>
    <w:rsid w:val="003A020C"/>
    <w:rsid w:val="003A0A50"/>
    <w:rsid w:val="003C61C2"/>
    <w:rsid w:val="00404DEB"/>
    <w:rsid w:val="00434588"/>
    <w:rsid w:val="0044142A"/>
    <w:rsid w:val="00494B27"/>
    <w:rsid w:val="004C48E5"/>
    <w:rsid w:val="004E44F7"/>
    <w:rsid w:val="00503434"/>
    <w:rsid w:val="00516DAB"/>
    <w:rsid w:val="006179C3"/>
    <w:rsid w:val="006374D1"/>
    <w:rsid w:val="00670801"/>
    <w:rsid w:val="006C28C8"/>
    <w:rsid w:val="006D33B6"/>
    <w:rsid w:val="006D3DE3"/>
    <w:rsid w:val="006D46C8"/>
    <w:rsid w:val="006E5B8B"/>
    <w:rsid w:val="0070472A"/>
    <w:rsid w:val="007141B5"/>
    <w:rsid w:val="00735F04"/>
    <w:rsid w:val="007405B1"/>
    <w:rsid w:val="00742D70"/>
    <w:rsid w:val="00743E09"/>
    <w:rsid w:val="00754B0E"/>
    <w:rsid w:val="00774D97"/>
    <w:rsid w:val="007A4299"/>
    <w:rsid w:val="007B1374"/>
    <w:rsid w:val="007B3B49"/>
    <w:rsid w:val="007D5BC5"/>
    <w:rsid w:val="00811C2B"/>
    <w:rsid w:val="0082754F"/>
    <w:rsid w:val="008662A3"/>
    <w:rsid w:val="008667BE"/>
    <w:rsid w:val="008879FA"/>
    <w:rsid w:val="008A3324"/>
    <w:rsid w:val="008A3988"/>
    <w:rsid w:val="008B0BA3"/>
    <w:rsid w:val="008B6B5C"/>
    <w:rsid w:val="008F2D30"/>
    <w:rsid w:val="008F68DC"/>
    <w:rsid w:val="00910744"/>
    <w:rsid w:val="00923506"/>
    <w:rsid w:val="00954602"/>
    <w:rsid w:val="00963AE3"/>
    <w:rsid w:val="009B05DA"/>
    <w:rsid w:val="009B7685"/>
    <w:rsid w:val="009D6F4C"/>
    <w:rsid w:val="009E2F7F"/>
    <w:rsid w:val="00A002A2"/>
    <w:rsid w:val="00A07290"/>
    <w:rsid w:val="00A30C3D"/>
    <w:rsid w:val="00A41562"/>
    <w:rsid w:val="00A705C8"/>
    <w:rsid w:val="00A73AAE"/>
    <w:rsid w:val="00A80AB0"/>
    <w:rsid w:val="00AC78AF"/>
    <w:rsid w:val="00B31B86"/>
    <w:rsid w:val="00B356D2"/>
    <w:rsid w:val="00BC6488"/>
    <w:rsid w:val="00C03FAC"/>
    <w:rsid w:val="00C27257"/>
    <w:rsid w:val="00C7340D"/>
    <w:rsid w:val="00C80A0A"/>
    <w:rsid w:val="00C80E3F"/>
    <w:rsid w:val="00C847F8"/>
    <w:rsid w:val="00CA6E7C"/>
    <w:rsid w:val="00CC020B"/>
    <w:rsid w:val="00CD13D6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E002FC"/>
    <w:rsid w:val="00E534C5"/>
    <w:rsid w:val="00E639A8"/>
    <w:rsid w:val="00E778A3"/>
    <w:rsid w:val="00EB26EE"/>
    <w:rsid w:val="00ED3C8F"/>
    <w:rsid w:val="00F05C21"/>
    <w:rsid w:val="00F152C7"/>
    <w:rsid w:val="00F729C3"/>
    <w:rsid w:val="00FA062F"/>
    <w:rsid w:val="00FA4BA1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5CF-B465-48FF-B99E-1B3D590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2021-10-28T07:25:00Z</cp:lastPrinted>
  <dcterms:created xsi:type="dcterms:W3CDTF">2021-10-28T06:53:00Z</dcterms:created>
  <dcterms:modified xsi:type="dcterms:W3CDTF">2021-10-28T07:27:00Z</dcterms:modified>
</cp:coreProperties>
</file>