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9F54F1" w:rsidRDefault="00694BFF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13</w:t>
      </w:r>
      <w:r w:rsidR="003B5881" w:rsidRPr="009F54F1">
        <w:rPr>
          <w:bCs/>
          <w:color w:val="000000" w:themeColor="text1"/>
          <w:sz w:val="20"/>
        </w:rPr>
        <w:t>.1</w:t>
      </w:r>
      <w:r w:rsidR="00CF4B72" w:rsidRPr="009F54F1">
        <w:rPr>
          <w:bCs/>
          <w:color w:val="000000" w:themeColor="text1"/>
          <w:sz w:val="20"/>
        </w:rPr>
        <w:t>0</w:t>
      </w:r>
      <w:r w:rsidR="00857413" w:rsidRPr="009F54F1">
        <w:rPr>
          <w:bCs/>
          <w:color w:val="000000" w:themeColor="text1"/>
          <w:sz w:val="20"/>
        </w:rPr>
        <w:t>.20</w:t>
      </w:r>
      <w:r w:rsidR="00CF4B72" w:rsidRPr="009F54F1">
        <w:rPr>
          <w:bCs/>
          <w:color w:val="000000" w:themeColor="text1"/>
          <w:sz w:val="20"/>
        </w:rPr>
        <w:t>20</w:t>
      </w:r>
      <w:r w:rsidR="00035018" w:rsidRPr="009F54F1">
        <w:rPr>
          <w:bCs/>
          <w:color w:val="000000" w:themeColor="text1"/>
          <w:sz w:val="20"/>
        </w:rPr>
        <w:t xml:space="preserve"> от № </w:t>
      </w:r>
      <w:r w:rsidR="009F54F1" w:rsidRPr="009F54F1">
        <w:rPr>
          <w:bCs/>
          <w:color w:val="000000" w:themeColor="text1"/>
          <w:sz w:val="20"/>
        </w:rPr>
        <w:t>38</w:t>
      </w:r>
    </w:p>
    <w:p w:rsidR="00857413" w:rsidRPr="009F54F1" w:rsidRDefault="00857413" w:rsidP="00857413">
      <w:pPr>
        <w:jc w:val="center"/>
        <w:rPr>
          <w:b/>
          <w:szCs w:val="24"/>
        </w:rPr>
      </w:pPr>
    </w:p>
    <w:p w:rsidR="00BD40E4" w:rsidRPr="009F54F1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EE3E3E" w:rsidRPr="009F54F1" w:rsidRDefault="00A45981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9F54F1">
        <w:rPr>
          <w:sz w:val="28"/>
          <w:szCs w:val="28"/>
        </w:rPr>
        <w:t>МУНИЦИПАЛЬНАЯ ПРОГРАММА</w:t>
      </w:r>
    </w:p>
    <w:p w:rsidR="001E4F74" w:rsidRPr="009F54F1" w:rsidRDefault="001E4F74" w:rsidP="001E4F7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на 20</w:t>
      </w:r>
      <w:r w:rsidR="00035018" w:rsidRPr="009F54F1">
        <w:rPr>
          <w:b/>
          <w:szCs w:val="24"/>
        </w:rPr>
        <w:t>2</w:t>
      </w:r>
      <w:r w:rsidR="0049299C">
        <w:rPr>
          <w:b/>
          <w:szCs w:val="24"/>
        </w:rPr>
        <w:t>1</w:t>
      </w:r>
      <w:r w:rsidRPr="009F54F1">
        <w:rPr>
          <w:b/>
          <w:szCs w:val="24"/>
        </w:rPr>
        <w:t xml:space="preserve"> год</w:t>
      </w:r>
    </w:p>
    <w:p w:rsidR="001E4F74" w:rsidRPr="009F54F1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9F54F1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9912FF" w:rsidP="002147D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9F54F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5823C9" w:rsidRPr="009F54F1">
              <w:rPr>
                <w:szCs w:val="24"/>
              </w:rPr>
              <w:t xml:space="preserve">Местная </w:t>
            </w:r>
            <w:r w:rsidR="002147DA" w:rsidRPr="009F54F1">
              <w:rPr>
                <w:szCs w:val="24"/>
              </w:rPr>
              <w:t>а</w:t>
            </w:r>
            <w:r w:rsidR="005823C9" w:rsidRPr="009F54F1">
              <w:rPr>
                <w:szCs w:val="24"/>
              </w:rPr>
              <w:t>дминистрация муниципального образования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D54736" w:rsidP="00CF4B7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 w:rsidRPr="009F54F1">
              <w:rPr>
                <w:rFonts w:ascii="Times New Roman" w:hAnsi="Times New Roman"/>
                <w:sz w:val="24"/>
                <w:szCs w:val="24"/>
              </w:rPr>
              <w:t>20</w:t>
            </w:r>
            <w:r w:rsidR="00035018" w:rsidRPr="009F54F1">
              <w:rPr>
                <w:rFonts w:ascii="Times New Roman" w:hAnsi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2B16C2" w:rsidP="00CF4B72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поселок Тярлево на 20</w:t>
            </w:r>
            <w:r w:rsidR="00035018" w:rsidRPr="009F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1C7D1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5018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F5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1C7D1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Сорок восемь тысяч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018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9912F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  <w:r w:rsidR="0066092B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B72" w:rsidRPr="009F54F1" w:rsidRDefault="00CF4B72" w:rsidP="00CF4B72">
            <w:pPr>
              <w:ind w:firstLine="0"/>
              <w:rPr>
                <w:szCs w:val="24"/>
              </w:rPr>
            </w:pPr>
            <w:r w:rsidRPr="009F54F1">
              <w:rPr>
                <w:b/>
                <w:szCs w:val="24"/>
              </w:rPr>
              <w:t>КБК 990 0709 4310000100 244 226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 xml:space="preserve">разработана в соответствии </w:t>
      </w:r>
      <w:proofErr w:type="gramStart"/>
      <w:r w:rsidR="009070C0" w:rsidRPr="009F54F1">
        <w:rPr>
          <w:szCs w:val="24"/>
        </w:rPr>
        <w:t>с</w:t>
      </w:r>
      <w:proofErr w:type="gramEnd"/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 w:rsidRPr="009F54F1">
        <w:rPr>
          <w:rFonts w:ascii="Times New Roman" w:hAnsi="Times New Roman"/>
          <w:sz w:val="24"/>
          <w:szCs w:val="24"/>
          <w:lang w:eastAsia="ru-RU"/>
        </w:rPr>
        <w:t>20</w:t>
      </w:r>
      <w:r w:rsidR="00035018" w:rsidRPr="009F54F1">
        <w:rPr>
          <w:rFonts w:ascii="Times New Roman" w:hAnsi="Times New Roman"/>
          <w:sz w:val="24"/>
          <w:szCs w:val="24"/>
          <w:lang w:eastAsia="ru-RU"/>
        </w:rPr>
        <w:t>2</w:t>
      </w:r>
      <w:r w:rsidR="00CF4B72" w:rsidRPr="009F54F1">
        <w:rPr>
          <w:rFonts w:ascii="Times New Roman" w:hAnsi="Times New Roman"/>
          <w:sz w:val="24"/>
          <w:szCs w:val="24"/>
          <w:lang w:eastAsia="ru-RU"/>
        </w:rPr>
        <w:t>1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4F1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 w:rsidRPr="009F54F1">
        <w:rPr>
          <w:rFonts w:ascii="Times New Roman" w:hAnsi="Times New Roman"/>
          <w:sz w:val="24"/>
        </w:rPr>
        <w:t>20</w:t>
      </w:r>
      <w:r w:rsidR="00035018" w:rsidRPr="009F54F1">
        <w:rPr>
          <w:rFonts w:ascii="Times New Roman" w:hAnsi="Times New Roman"/>
          <w:sz w:val="24"/>
        </w:rPr>
        <w:t>2</w:t>
      </w:r>
      <w:r w:rsidR="00CF4B72" w:rsidRPr="009F54F1">
        <w:rPr>
          <w:rFonts w:ascii="Times New Roman" w:hAnsi="Times New Roman"/>
          <w:sz w:val="24"/>
        </w:rPr>
        <w:t>1</w:t>
      </w:r>
      <w:r w:rsidRPr="009F54F1">
        <w:rPr>
          <w:rFonts w:ascii="Times New Roman" w:hAnsi="Times New Roman"/>
          <w:sz w:val="24"/>
        </w:rPr>
        <w:t xml:space="preserve"> года.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Pr="009F54F1">
        <w:rPr>
          <w:rFonts w:ascii="Times New Roman" w:hAnsi="Times New Roman"/>
          <w:b/>
          <w:sz w:val="24"/>
          <w:szCs w:val="24"/>
        </w:rPr>
        <w:t>48 300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 (Сорок восемь тысяч триста рублей 00 копеек)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CF703F">
        <w:trPr>
          <w:trHeight w:val="96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7E35E6" w:rsidRPr="009F54F1" w:rsidRDefault="007E35E6" w:rsidP="007E35E6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(50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35E6" w:rsidRPr="009F54F1" w:rsidRDefault="00CF703F" w:rsidP="00CF703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632F2D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632F2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632F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bookmarkStart w:id="0" w:name="_GoBack"/>
            <w:bookmarkEnd w:id="0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CF703F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35E6" w:rsidRPr="009F54F1" w:rsidRDefault="00CF703F" w:rsidP="00CF70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CF703F">
        <w:trPr>
          <w:trHeight w:val="70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35E6" w:rsidRPr="009F54F1" w:rsidRDefault="00CF703F" w:rsidP="00CF70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F703F" w:rsidRPr="009F54F1" w:rsidTr="00CF703F">
        <w:trPr>
          <w:trHeight w:val="548"/>
        </w:trPr>
        <w:tc>
          <w:tcPr>
            <w:tcW w:w="426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03F" w:rsidRPr="009F54F1" w:rsidRDefault="00CF703F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03F" w:rsidRPr="009F54F1" w:rsidRDefault="00CF703F" w:rsidP="00CF70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CF703F" w:rsidRPr="009F54F1" w:rsidRDefault="00CF703F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F703F" w:rsidRPr="009F54F1" w:rsidTr="00CF703F">
        <w:trPr>
          <w:trHeight w:val="699"/>
        </w:trPr>
        <w:tc>
          <w:tcPr>
            <w:tcW w:w="426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03F" w:rsidRPr="009F54F1" w:rsidRDefault="00CF703F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03F" w:rsidRPr="009F54F1" w:rsidRDefault="00CF703F" w:rsidP="00CF70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CF703F" w:rsidRPr="009F54F1" w:rsidRDefault="00CF703F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F703F" w:rsidRPr="009F54F1" w:rsidTr="009026E3">
        <w:tc>
          <w:tcPr>
            <w:tcW w:w="426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F703F" w:rsidRPr="009F54F1" w:rsidRDefault="00CF703F" w:rsidP="00A9320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F703F" w:rsidRPr="009F54F1" w:rsidRDefault="00CF703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48,3</w:t>
            </w:r>
          </w:p>
        </w:tc>
        <w:tc>
          <w:tcPr>
            <w:tcW w:w="1703" w:type="dxa"/>
          </w:tcPr>
          <w:p w:rsidR="00CF703F" w:rsidRPr="009F54F1" w:rsidRDefault="00CF703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Pr="009F54F1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</w:t>
      </w:r>
      <w:r w:rsidR="0087782D" w:rsidRPr="009F54F1">
        <w:rPr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E44F8" w:rsidRPr="009F54F1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 xml:space="preserve">. Система </w:t>
      </w:r>
      <w:proofErr w:type="gramStart"/>
      <w:r w:rsidRPr="009F54F1">
        <w:rPr>
          <w:rStyle w:val="ac"/>
          <w:szCs w:val="24"/>
        </w:rPr>
        <w:t>контроля за</w:t>
      </w:r>
      <w:proofErr w:type="gramEnd"/>
      <w:r w:rsidRPr="009F54F1">
        <w:rPr>
          <w:rStyle w:val="ac"/>
          <w:szCs w:val="24"/>
        </w:rPr>
        <w:t xml:space="preserve"> реализацией Программы</w:t>
      </w: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F54F1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E44F8" w:rsidRPr="009F54F1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F54F1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</w:t>
      </w:r>
      <w:r w:rsidR="005B5B43" w:rsidRPr="009F54F1">
        <w:rPr>
          <w:szCs w:val="24"/>
        </w:rPr>
        <w:t>09</w:t>
      </w:r>
      <w:r w:rsidRPr="009F54F1">
        <w:rPr>
          <w:szCs w:val="24"/>
        </w:rPr>
        <w:t>.20</w:t>
      </w:r>
      <w:r w:rsidR="005B5B43" w:rsidRPr="009F54F1">
        <w:rPr>
          <w:szCs w:val="24"/>
        </w:rPr>
        <w:t>20</w:t>
      </w:r>
      <w:r w:rsidRPr="009F54F1">
        <w:rPr>
          <w:szCs w:val="24"/>
        </w:rPr>
        <w:t xml:space="preserve"> № 3</w:t>
      </w:r>
      <w:r w:rsidR="005B5B43" w:rsidRPr="009F54F1">
        <w:rPr>
          <w:szCs w:val="24"/>
        </w:rPr>
        <w:t>4</w:t>
      </w:r>
      <w:r w:rsidRPr="009F54F1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9F54F1">
        <w:rPr>
          <w:szCs w:val="24"/>
        </w:rPr>
        <w:t>эффективности муниципальных программ местной администрации муниципального образования Санкт-Петербурга</w:t>
      </w:r>
      <w:proofErr w:type="gramEnd"/>
      <w:r w:rsidRPr="009F54F1">
        <w:rPr>
          <w:szCs w:val="24"/>
        </w:rPr>
        <w:t xml:space="preserve"> поселок Тярлево».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Pr="009F54F1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51" w:rsidRDefault="005F2751">
      <w:r>
        <w:separator/>
      </w:r>
    </w:p>
  </w:endnote>
  <w:endnote w:type="continuationSeparator" w:id="0">
    <w:p w:rsidR="005F2751" w:rsidRDefault="005F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51" w:rsidRDefault="005F2751">
      <w:r>
        <w:separator/>
      </w:r>
    </w:p>
  </w:footnote>
  <w:footnote w:type="continuationSeparator" w:id="0">
    <w:p w:rsidR="005F2751" w:rsidRDefault="005F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1F01"/>
    <w:rsid w:val="00035018"/>
    <w:rsid w:val="000465E5"/>
    <w:rsid w:val="000626B9"/>
    <w:rsid w:val="00063FE5"/>
    <w:rsid w:val="000653DD"/>
    <w:rsid w:val="0007172F"/>
    <w:rsid w:val="000747B6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482F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5A92"/>
    <w:rsid w:val="005E7E27"/>
    <w:rsid w:val="005F2751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6086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833B1"/>
    <w:rsid w:val="00B83858"/>
    <w:rsid w:val="00B86B5A"/>
    <w:rsid w:val="00B86EEE"/>
    <w:rsid w:val="00B91F80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A0CF3"/>
    <w:rsid w:val="00CA0DC8"/>
    <w:rsid w:val="00CB03C5"/>
    <w:rsid w:val="00CD7F82"/>
    <w:rsid w:val="00CF0CFC"/>
    <w:rsid w:val="00CF2918"/>
    <w:rsid w:val="00CF4B72"/>
    <w:rsid w:val="00CF6444"/>
    <w:rsid w:val="00CF703F"/>
    <w:rsid w:val="00D101AA"/>
    <w:rsid w:val="00D36172"/>
    <w:rsid w:val="00D40F18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B6748"/>
    <w:rsid w:val="00EC05E4"/>
    <w:rsid w:val="00EC3587"/>
    <w:rsid w:val="00EE3E3E"/>
    <w:rsid w:val="00F218B1"/>
    <w:rsid w:val="00F30660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7217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9161-A3E4-4494-9437-048C605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10110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63</cp:revision>
  <cp:lastPrinted>2020-09-23T14:38:00Z</cp:lastPrinted>
  <dcterms:created xsi:type="dcterms:W3CDTF">2018-04-18T14:02:00Z</dcterms:created>
  <dcterms:modified xsi:type="dcterms:W3CDTF">2021-02-18T06:52:00Z</dcterms:modified>
</cp:coreProperties>
</file>