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EB" w:rsidRPr="007F3A68" w:rsidRDefault="001A05EB" w:rsidP="00CC12DC">
      <w:pPr>
        <w:widowControl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</w:rPr>
      </w:pPr>
      <w:r w:rsidRPr="007F3A68">
        <w:rPr>
          <w:rFonts w:eastAsia="Arial Unicode MS"/>
          <w:b/>
          <w:color w:val="000000"/>
          <w:sz w:val="28"/>
          <w:szCs w:val="28"/>
        </w:rPr>
        <w:t xml:space="preserve">МЕСТНАЯ АДМИНИСТРАЦИЯ </w:t>
      </w:r>
    </w:p>
    <w:p w:rsidR="00CC12DC" w:rsidRPr="007F3A68" w:rsidRDefault="00CC12DC" w:rsidP="00CC12DC">
      <w:pPr>
        <w:widowControl/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</w:rPr>
      </w:pPr>
      <w:r w:rsidRPr="007F3A68">
        <w:rPr>
          <w:rFonts w:eastAsia="Arial Unicode MS"/>
          <w:b/>
          <w:color w:val="000000"/>
          <w:sz w:val="28"/>
          <w:szCs w:val="28"/>
        </w:rPr>
        <w:t>МУНИЦИПАЛЬНО</w:t>
      </w:r>
      <w:r w:rsidR="001A05EB" w:rsidRPr="007F3A68">
        <w:rPr>
          <w:rFonts w:eastAsia="Arial Unicode MS"/>
          <w:b/>
          <w:color w:val="000000"/>
          <w:sz w:val="28"/>
          <w:szCs w:val="28"/>
        </w:rPr>
        <w:t>ГО</w:t>
      </w:r>
      <w:r w:rsidRPr="007F3A68">
        <w:rPr>
          <w:rFonts w:eastAsia="Arial Unicode MS"/>
          <w:b/>
          <w:color w:val="000000"/>
          <w:sz w:val="28"/>
          <w:szCs w:val="28"/>
        </w:rPr>
        <w:t xml:space="preserve"> ОБРАЗОВАНИ</w:t>
      </w:r>
      <w:r w:rsidR="001A05EB" w:rsidRPr="007F3A68">
        <w:rPr>
          <w:rFonts w:eastAsia="Arial Unicode MS"/>
          <w:b/>
          <w:color w:val="000000"/>
          <w:sz w:val="28"/>
          <w:szCs w:val="28"/>
        </w:rPr>
        <w:t>Я</w:t>
      </w:r>
      <w:r w:rsidR="007F3A68" w:rsidRPr="007F3A68">
        <w:rPr>
          <w:rFonts w:eastAsia="Arial Unicode MS"/>
          <w:b/>
          <w:color w:val="000000"/>
          <w:sz w:val="28"/>
          <w:szCs w:val="28"/>
        </w:rPr>
        <w:t xml:space="preserve"> ПОСЕЛОК ТЯРЛЕВО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8A61CF" w:rsidP="00CC12DC">
      <w:pPr>
        <w:widowControl/>
        <w:autoSpaceDE/>
        <w:autoSpaceDN/>
        <w:adjustRightInd/>
        <w:spacing w:after="100" w:afterAutospacing="1"/>
        <w:jc w:val="center"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CC12DC" w:rsidRPr="00041035" w:rsidSect="002D74C4">
          <w:pgSz w:w="11905" w:h="16837"/>
          <w:pgMar w:top="993" w:right="1133" w:bottom="1440" w:left="1133" w:header="720" w:footer="720" w:gutter="0"/>
          <w:cols w:space="720"/>
        </w:sectPr>
      </w:pPr>
      <w:r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CC12DC" w:rsidRPr="00B268E5" w:rsidRDefault="00EA138F" w:rsidP="00CC12DC">
      <w:pPr>
        <w:pStyle w:val="Style4"/>
        <w:widowControl/>
        <w:jc w:val="both"/>
        <w:rPr>
          <w:rStyle w:val="FontStyle14"/>
          <w:b/>
        </w:rPr>
      </w:pPr>
      <w:proofErr w:type="gramStart"/>
      <w:r w:rsidRPr="00B268E5">
        <w:rPr>
          <w:rStyle w:val="FontStyle14"/>
          <w:b/>
        </w:rPr>
        <w:lastRenderedPageBreak/>
        <w:t xml:space="preserve">от  </w:t>
      </w:r>
      <w:r w:rsidR="008A61CF" w:rsidRPr="00B268E5">
        <w:rPr>
          <w:rStyle w:val="FontStyle14"/>
          <w:b/>
        </w:rPr>
        <w:t>27</w:t>
      </w:r>
      <w:r w:rsidR="00FE6294" w:rsidRPr="00B268E5">
        <w:rPr>
          <w:rStyle w:val="FontStyle14"/>
          <w:b/>
        </w:rPr>
        <w:t>.</w:t>
      </w:r>
      <w:r w:rsidR="00EA425F" w:rsidRPr="00B268E5">
        <w:rPr>
          <w:rStyle w:val="FontStyle14"/>
          <w:b/>
        </w:rPr>
        <w:t>1</w:t>
      </w:r>
      <w:r w:rsidR="008A61CF" w:rsidRPr="00B268E5">
        <w:rPr>
          <w:rStyle w:val="FontStyle14"/>
          <w:b/>
        </w:rPr>
        <w:t>2</w:t>
      </w:r>
      <w:r w:rsidR="00FE6294" w:rsidRPr="00B268E5">
        <w:rPr>
          <w:rStyle w:val="FontStyle14"/>
          <w:b/>
        </w:rPr>
        <w:t>.201</w:t>
      </w:r>
      <w:r w:rsidR="008A61CF" w:rsidRPr="00B268E5">
        <w:rPr>
          <w:rStyle w:val="FontStyle14"/>
          <w:b/>
        </w:rPr>
        <w:t>9</w:t>
      </w:r>
      <w:proofErr w:type="gramEnd"/>
      <w:r w:rsidR="00721B9E" w:rsidRPr="00B268E5">
        <w:rPr>
          <w:rStyle w:val="FontStyle14"/>
          <w:b/>
        </w:rPr>
        <w:t xml:space="preserve"> </w:t>
      </w:r>
      <w:r w:rsidR="00CC12DC" w:rsidRPr="00B268E5">
        <w:rPr>
          <w:rStyle w:val="FontStyle14"/>
          <w:b/>
        </w:rPr>
        <w:t>г.</w:t>
      </w:r>
      <w:r w:rsidR="007F560D" w:rsidRPr="00B268E5">
        <w:rPr>
          <w:rStyle w:val="FontStyle14"/>
          <w:b/>
        </w:rPr>
        <w:t xml:space="preserve">  </w:t>
      </w:r>
      <w:r w:rsidR="00C74019" w:rsidRPr="00B268E5">
        <w:rPr>
          <w:rStyle w:val="FontStyle14"/>
          <w:b/>
        </w:rPr>
        <w:t xml:space="preserve">   </w:t>
      </w:r>
    </w:p>
    <w:p w:rsidR="007F560D" w:rsidRPr="00B268E5" w:rsidRDefault="00CC12DC" w:rsidP="007F560D">
      <w:pPr>
        <w:widowControl/>
        <w:autoSpaceDE/>
        <w:autoSpaceDN/>
        <w:adjustRightInd/>
        <w:rPr>
          <w:rStyle w:val="FontStyle14"/>
          <w:b/>
        </w:rPr>
        <w:sectPr w:rsidR="007F560D" w:rsidRPr="00B268E5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  <w:r>
        <w:rPr>
          <w:rStyle w:val="FontStyle14"/>
        </w:rPr>
        <w:br w:type="column"/>
      </w:r>
      <w:r w:rsidR="007F560D" w:rsidRPr="00B268E5">
        <w:rPr>
          <w:rStyle w:val="FontStyle14"/>
          <w:b/>
        </w:rPr>
        <w:lastRenderedPageBreak/>
        <w:t>№ 59</w:t>
      </w:r>
    </w:p>
    <w:p w:rsidR="00CC12DC" w:rsidRDefault="00CC12DC" w:rsidP="00CC12DC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8A61CF" w:rsidRPr="008A61CF" w:rsidRDefault="008A61CF" w:rsidP="008A61CF">
      <w:pPr>
        <w:pStyle w:val="1"/>
        <w:rPr>
          <w:rFonts w:eastAsia="Andale Sans UI" w:cs="Times New Roman"/>
          <w:sz w:val="28"/>
          <w:szCs w:val="28"/>
          <w:lang w:val="ru-RU"/>
        </w:rPr>
      </w:pPr>
      <w:r w:rsidRPr="008A61CF">
        <w:rPr>
          <w:rFonts w:eastAsia="Andale Sans UI" w:cs="Times New Roman"/>
          <w:sz w:val="28"/>
          <w:szCs w:val="28"/>
        </w:rPr>
        <w:t>О</w:t>
      </w:r>
      <w:r w:rsidRPr="008A61CF">
        <w:rPr>
          <w:rFonts w:eastAsia="Andale Sans UI" w:cs="Times New Roman"/>
          <w:sz w:val="28"/>
          <w:szCs w:val="28"/>
          <w:lang w:val="ru-RU"/>
        </w:rPr>
        <w:t>б утверждении порядка завершения операций</w:t>
      </w:r>
    </w:p>
    <w:p w:rsidR="008A61CF" w:rsidRPr="008A61CF" w:rsidRDefault="008A61CF" w:rsidP="008A61CF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8A61CF">
        <w:rPr>
          <w:rFonts w:cs="Times New Roman"/>
          <w:b/>
          <w:sz w:val="28"/>
          <w:szCs w:val="28"/>
          <w:lang w:val="ru-RU"/>
        </w:rPr>
        <w:t>по исполнению бюджета муниципального образования</w:t>
      </w:r>
    </w:p>
    <w:p w:rsidR="008A61CF" w:rsidRPr="008A61CF" w:rsidRDefault="008A61CF" w:rsidP="008A61CF">
      <w:pPr>
        <w:pStyle w:val="ConsPlusNormal"/>
        <w:spacing w:line="360" w:lineRule="auto"/>
        <w:jc w:val="both"/>
        <w:rPr>
          <w:b/>
        </w:rPr>
      </w:pPr>
      <w:r>
        <w:rPr>
          <w:b/>
        </w:rPr>
        <w:t>поселок Тярлево</w:t>
      </w:r>
      <w:r w:rsidRPr="008A61CF">
        <w:rPr>
          <w:b/>
        </w:rPr>
        <w:t xml:space="preserve"> в текущем финансовом году</w:t>
      </w:r>
    </w:p>
    <w:p w:rsidR="008A61CF" w:rsidRPr="008A61CF" w:rsidRDefault="008A61CF" w:rsidP="008A61CF">
      <w:pPr>
        <w:pStyle w:val="ConsPlusNormal"/>
        <w:spacing w:line="360" w:lineRule="auto"/>
        <w:jc w:val="both"/>
        <w:rPr>
          <w:b/>
        </w:rPr>
      </w:pPr>
    </w:p>
    <w:p w:rsidR="008A61CF" w:rsidRPr="008A61CF" w:rsidRDefault="008A61CF" w:rsidP="008A61CF">
      <w:pPr>
        <w:ind w:firstLine="708"/>
        <w:jc w:val="both"/>
        <w:rPr>
          <w:color w:val="000000"/>
          <w:sz w:val="28"/>
          <w:szCs w:val="28"/>
        </w:rPr>
      </w:pPr>
      <w:r w:rsidRPr="008A61CF">
        <w:rPr>
          <w:sz w:val="28"/>
          <w:szCs w:val="28"/>
        </w:rPr>
        <w:t xml:space="preserve">     </w:t>
      </w:r>
      <w:r w:rsidRPr="008A61CF">
        <w:rPr>
          <w:sz w:val="28"/>
          <w:szCs w:val="28"/>
          <w:lang w:eastAsia="en-US"/>
        </w:rPr>
        <w:t>В соответствии с требованиями ст. 242 Бюджетного кодекса Российской Федерации,</w:t>
      </w:r>
      <w:r w:rsidRPr="008A61CF">
        <w:rPr>
          <w:color w:val="000000"/>
          <w:sz w:val="28"/>
          <w:szCs w:val="28"/>
        </w:rPr>
        <w:t xml:space="preserve"> Местная администрация </w:t>
      </w:r>
      <w:r>
        <w:rPr>
          <w:color w:val="000000"/>
          <w:sz w:val="28"/>
          <w:szCs w:val="28"/>
        </w:rPr>
        <w:t>муниципального образования поселок Тярлево</w:t>
      </w:r>
    </w:p>
    <w:p w:rsidR="008A61CF" w:rsidRPr="008A61CF" w:rsidRDefault="008A61CF" w:rsidP="008A61CF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8A61CF" w:rsidRPr="008A61CF" w:rsidRDefault="008A61CF" w:rsidP="008A61CF">
      <w:pPr>
        <w:autoSpaceDE/>
        <w:autoSpaceDN/>
        <w:adjustRightInd/>
        <w:jc w:val="both"/>
        <w:rPr>
          <w:b/>
          <w:sz w:val="28"/>
          <w:szCs w:val="28"/>
        </w:rPr>
      </w:pPr>
      <w:r w:rsidRPr="008A61CF">
        <w:rPr>
          <w:b/>
          <w:sz w:val="28"/>
          <w:szCs w:val="28"/>
        </w:rPr>
        <w:t>ПОСТАНОВЛЯЕТ:</w:t>
      </w:r>
    </w:p>
    <w:p w:rsidR="008A61CF" w:rsidRPr="008A61CF" w:rsidRDefault="008A61CF" w:rsidP="008A61CF">
      <w:pPr>
        <w:autoSpaceDE/>
        <w:autoSpaceDN/>
        <w:adjustRightInd/>
        <w:jc w:val="both"/>
        <w:rPr>
          <w:b/>
          <w:sz w:val="28"/>
          <w:szCs w:val="28"/>
        </w:rPr>
      </w:pPr>
    </w:p>
    <w:p w:rsidR="008A61CF" w:rsidRPr="008A61CF" w:rsidRDefault="008A61CF" w:rsidP="008A61CF">
      <w:pPr>
        <w:spacing w:line="276" w:lineRule="auto"/>
        <w:ind w:firstLine="720"/>
        <w:jc w:val="both"/>
        <w:rPr>
          <w:sz w:val="28"/>
          <w:szCs w:val="28"/>
        </w:rPr>
      </w:pPr>
      <w:r w:rsidRPr="008A61CF">
        <w:rPr>
          <w:sz w:val="28"/>
          <w:szCs w:val="28"/>
        </w:rPr>
        <w:t>1.</w:t>
      </w:r>
      <w:r w:rsidRPr="008A61CF">
        <w:rPr>
          <w:sz w:val="28"/>
          <w:szCs w:val="28"/>
          <w:lang w:eastAsia="en-US"/>
        </w:rPr>
        <w:t xml:space="preserve"> Утвердить Порядок завершения операций по исполнению бюджета муниципального образования </w:t>
      </w:r>
      <w:r>
        <w:rPr>
          <w:sz w:val="28"/>
          <w:szCs w:val="28"/>
          <w:lang w:eastAsia="en-US"/>
        </w:rPr>
        <w:t>поселок Тярлево</w:t>
      </w:r>
      <w:r w:rsidRPr="008A61CF">
        <w:rPr>
          <w:sz w:val="28"/>
          <w:szCs w:val="28"/>
          <w:lang w:eastAsia="en-US"/>
        </w:rPr>
        <w:t xml:space="preserve"> в текущем финансовом году </w:t>
      </w:r>
      <w:r w:rsidRPr="008A61CF">
        <w:rPr>
          <w:sz w:val="28"/>
          <w:szCs w:val="28"/>
        </w:rPr>
        <w:t xml:space="preserve">согласно </w:t>
      </w:r>
      <w:r w:rsidRPr="008A61CF">
        <w:rPr>
          <w:sz w:val="28"/>
          <w:szCs w:val="28"/>
          <w:lang w:eastAsia="en-US"/>
        </w:rPr>
        <w:t>приложению № 1 к настоящему постановлению.</w:t>
      </w:r>
      <w:bookmarkStart w:id="0" w:name="sub_1"/>
      <w:r w:rsidRPr="008A61CF">
        <w:rPr>
          <w:sz w:val="28"/>
          <w:szCs w:val="28"/>
        </w:rPr>
        <w:t xml:space="preserve"> </w:t>
      </w:r>
      <w:bookmarkEnd w:id="0"/>
    </w:p>
    <w:p w:rsidR="008A61CF" w:rsidRPr="008A61CF" w:rsidRDefault="008A61CF" w:rsidP="008A61CF">
      <w:pPr>
        <w:pStyle w:val="Standard"/>
        <w:autoSpaceDE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A61CF">
        <w:rPr>
          <w:sz w:val="28"/>
          <w:szCs w:val="28"/>
          <w:lang w:val="ru-RU"/>
        </w:rPr>
        <w:t xml:space="preserve">2.  Главному бухгалтеру </w:t>
      </w:r>
      <w:r>
        <w:rPr>
          <w:sz w:val="28"/>
          <w:szCs w:val="28"/>
          <w:lang w:val="ru-RU"/>
        </w:rPr>
        <w:t>Марцулевич Н.И.</w:t>
      </w:r>
      <w:r w:rsidRPr="008A61CF">
        <w:rPr>
          <w:sz w:val="28"/>
          <w:szCs w:val="28"/>
          <w:lang w:val="ru-RU"/>
        </w:rPr>
        <w:t xml:space="preserve"> – руководствоваться настоящим порядком в текущей деятельности.</w:t>
      </w:r>
    </w:p>
    <w:p w:rsidR="008A61CF" w:rsidRPr="008A61CF" w:rsidRDefault="008A61CF" w:rsidP="008A61CF">
      <w:pPr>
        <w:pStyle w:val="Iauiue"/>
        <w:tabs>
          <w:tab w:val="left" w:pos="993"/>
          <w:tab w:val="left" w:pos="7371"/>
        </w:tabs>
        <w:jc w:val="both"/>
        <w:rPr>
          <w:sz w:val="28"/>
          <w:szCs w:val="28"/>
        </w:rPr>
      </w:pPr>
      <w:r w:rsidRPr="008A61CF"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8A61CF" w:rsidRDefault="008A61CF" w:rsidP="008A61CF">
      <w:pPr>
        <w:pStyle w:val="Iauiue"/>
        <w:tabs>
          <w:tab w:val="left" w:pos="993"/>
          <w:tab w:val="left" w:pos="7371"/>
        </w:tabs>
        <w:jc w:val="both"/>
        <w:rPr>
          <w:szCs w:val="24"/>
        </w:rPr>
      </w:pPr>
    </w:p>
    <w:p w:rsidR="008A61CF" w:rsidRDefault="008A61CF" w:rsidP="008A61CF">
      <w:pPr>
        <w:pStyle w:val="Iauiue"/>
        <w:tabs>
          <w:tab w:val="left" w:pos="993"/>
          <w:tab w:val="left" w:pos="7371"/>
        </w:tabs>
        <w:jc w:val="both"/>
        <w:rPr>
          <w:szCs w:val="24"/>
        </w:rPr>
      </w:pPr>
    </w:p>
    <w:p w:rsidR="00721B9E" w:rsidRDefault="00721B9E" w:rsidP="00721B9E">
      <w:pPr>
        <w:ind w:firstLine="708"/>
        <w:jc w:val="both"/>
        <w:rPr>
          <w:sz w:val="28"/>
          <w:szCs w:val="28"/>
        </w:rPr>
      </w:pPr>
    </w:p>
    <w:p w:rsidR="00C978C5" w:rsidRDefault="00C978C5" w:rsidP="00721B9E">
      <w:pPr>
        <w:pStyle w:val="Style6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C978C5" w:rsidRDefault="00C978C5" w:rsidP="00721B9E">
      <w:pPr>
        <w:pStyle w:val="Style6"/>
        <w:widowControl/>
        <w:spacing w:line="240" w:lineRule="auto"/>
        <w:jc w:val="both"/>
        <w:rPr>
          <w:rStyle w:val="FontStyle14"/>
          <w:sz w:val="28"/>
          <w:szCs w:val="28"/>
        </w:rPr>
      </w:pPr>
    </w:p>
    <w:p w:rsidR="00CC12DC" w:rsidRPr="00721B9E" w:rsidRDefault="00CC12DC" w:rsidP="00721B9E">
      <w:pPr>
        <w:pStyle w:val="Style6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721B9E">
        <w:rPr>
          <w:rStyle w:val="FontStyle14"/>
          <w:sz w:val="28"/>
          <w:szCs w:val="28"/>
        </w:rPr>
        <w:t xml:space="preserve">Глава </w:t>
      </w:r>
      <w:r w:rsidR="00C978C5">
        <w:rPr>
          <w:rStyle w:val="FontStyle14"/>
          <w:sz w:val="28"/>
          <w:szCs w:val="28"/>
        </w:rPr>
        <w:t>Местной Администрации</w:t>
      </w:r>
      <w:r w:rsidRPr="00721B9E">
        <w:rPr>
          <w:rStyle w:val="FontStyle14"/>
          <w:sz w:val="28"/>
          <w:szCs w:val="28"/>
        </w:rPr>
        <w:t xml:space="preserve">                   </w:t>
      </w:r>
      <w:r w:rsidR="00EA138F" w:rsidRPr="00721B9E">
        <w:rPr>
          <w:rStyle w:val="FontStyle14"/>
          <w:sz w:val="28"/>
          <w:szCs w:val="28"/>
        </w:rPr>
        <w:t xml:space="preserve">                        </w:t>
      </w:r>
      <w:r w:rsidR="00C74019" w:rsidRPr="00721B9E">
        <w:rPr>
          <w:rStyle w:val="FontStyle14"/>
          <w:sz w:val="28"/>
          <w:szCs w:val="28"/>
        </w:rPr>
        <w:t xml:space="preserve">             </w:t>
      </w:r>
      <w:r w:rsidR="001A05EB">
        <w:rPr>
          <w:rStyle w:val="FontStyle14"/>
          <w:sz w:val="28"/>
          <w:szCs w:val="28"/>
        </w:rPr>
        <w:t>А.О. Николаев</w:t>
      </w:r>
    </w:p>
    <w:p w:rsidR="001557D8" w:rsidRDefault="001557D8" w:rsidP="00721B9E">
      <w:pPr>
        <w:pStyle w:val="Style8"/>
        <w:widowControl/>
        <w:tabs>
          <w:tab w:val="left" w:pos="720"/>
        </w:tabs>
        <w:spacing w:line="240" w:lineRule="auto"/>
        <w:ind w:firstLine="0"/>
        <w:jc w:val="left"/>
        <w:rPr>
          <w:rStyle w:val="FontStyle14"/>
        </w:rPr>
        <w:sectPr w:rsidR="001557D8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</w:p>
    <w:p w:rsidR="001557D8" w:rsidRDefault="001557D8" w:rsidP="00C74019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</w:rPr>
        <w:sectPr w:rsidR="001557D8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</w:p>
    <w:p w:rsidR="008A61CF" w:rsidRDefault="008A61CF" w:rsidP="008A61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8A61CF" w:rsidRDefault="008A61CF" w:rsidP="008A61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к постановлению Местной администрации</w:t>
      </w:r>
    </w:p>
    <w:p w:rsidR="008A61CF" w:rsidRDefault="008A61CF" w:rsidP="008A61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муниципального образования поселок Тярлево</w:t>
      </w:r>
    </w:p>
    <w:p w:rsidR="008A61CF" w:rsidRDefault="008A61CF" w:rsidP="008A61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от </w:t>
      </w:r>
      <w:r w:rsidR="001A05EB">
        <w:rPr>
          <w:rFonts w:ascii="Times New Roman" w:hAnsi="Times New Roman" w:cs="Times New Roman"/>
          <w:b w:val="0"/>
          <w:sz w:val="22"/>
          <w:szCs w:val="22"/>
        </w:rPr>
        <w:t>27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1A05EB">
        <w:rPr>
          <w:rFonts w:ascii="Times New Roman" w:hAnsi="Times New Roman" w:cs="Times New Roman"/>
          <w:b w:val="0"/>
          <w:sz w:val="22"/>
          <w:szCs w:val="22"/>
        </w:rPr>
        <w:t>12</w:t>
      </w:r>
      <w:r>
        <w:rPr>
          <w:rFonts w:ascii="Times New Roman" w:hAnsi="Times New Roman" w:cs="Times New Roman"/>
          <w:b w:val="0"/>
          <w:sz w:val="22"/>
          <w:szCs w:val="22"/>
        </w:rPr>
        <w:t>.201</w:t>
      </w:r>
      <w:r w:rsidR="001A05EB">
        <w:rPr>
          <w:rFonts w:ascii="Times New Roman" w:hAnsi="Times New Roman" w:cs="Times New Roman"/>
          <w:b w:val="0"/>
          <w:sz w:val="22"/>
          <w:szCs w:val="22"/>
        </w:rPr>
        <w:t>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г. № </w:t>
      </w:r>
      <w:r w:rsidR="001A05EB">
        <w:rPr>
          <w:rFonts w:ascii="Times New Roman" w:hAnsi="Times New Roman" w:cs="Times New Roman"/>
          <w:b w:val="0"/>
          <w:sz w:val="22"/>
          <w:szCs w:val="22"/>
        </w:rPr>
        <w:t>59</w:t>
      </w:r>
    </w:p>
    <w:p w:rsidR="008A61CF" w:rsidRDefault="008A61CF" w:rsidP="008A61C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A61CF" w:rsidRDefault="008A61CF" w:rsidP="008A61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61CF" w:rsidRDefault="008A61CF" w:rsidP="008A61CF">
      <w:pPr>
        <w:jc w:val="center"/>
        <w:rPr>
          <w:color w:val="000000"/>
        </w:rPr>
      </w:pPr>
      <w:r>
        <w:t xml:space="preserve">    </w:t>
      </w:r>
      <w:r>
        <w:rPr>
          <w:b/>
          <w:bCs/>
          <w:color w:val="000000"/>
        </w:rPr>
        <w:t xml:space="preserve">Порядок </w:t>
      </w:r>
    </w:p>
    <w:p w:rsidR="001A05EB" w:rsidRDefault="008A61CF" w:rsidP="008A61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завершения операций по исполнению бюджета муниципального образования </w:t>
      </w:r>
    </w:p>
    <w:p w:rsidR="008A61CF" w:rsidRDefault="001A05EB" w:rsidP="008A61CF">
      <w:pPr>
        <w:jc w:val="center"/>
        <w:rPr>
          <w:color w:val="000000"/>
        </w:rPr>
      </w:pPr>
      <w:r>
        <w:rPr>
          <w:b/>
          <w:bCs/>
          <w:color w:val="000000"/>
        </w:rPr>
        <w:t>поселок Тярлево</w:t>
      </w:r>
      <w:r w:rsidR="008A61CF">
        <w:rPr>
          <w:b/>
          <w:bCs/>
          <w:color w:val="000000"/>
        </w:rPr>
        <w:t xml:space="preserve"> в текущем финансовом году</w:t>
      </w:r>
    </w:p>
    <w:p w:rsidR="008A61CF" w:rsidRDefault="008A61CF" w:rsidP="008A61CF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 В соответствии со статьей 242 Бюджетного кодекса Российской </w:t>
      </w:r>
      <w:proofErr w:type="gramStart"/>
      <w:r>
        <w:rPr>
          <w:color w:val="000000"/>
        </w:rPr>
        <w:t>Федерации  исполнение</w:t>
      </w:r>
      <w:proofErr w:type="gramEnd"/>
      <w:r>
        <w:rPr>
          <w:color w:val="000000"/>
        </w:rPr>
        <w:t xml:space="preserve"> бюджета муниципального образования </w:t>
      </w:r>
      <w:r w:rsidR="001A05EB">
        <w:rPr>
          <w:color w:val="000000"/>
        </w:rPr>
        <w:t>поселок Тярлево</w:t>
      </w:r>
      <w:r>
        <w:rPr>
          <w:color w:val="000000"/>
        </w:rPr>
        <w:t xml:space="preserve"> (далее по тексту – местного бюджета) завершается в части: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кассовых операций по расходам местного бюджета и источникам финансирования дефицита - 30 декабря текущего финансового года;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 исполнении местного бюджета - в первые пять рабочих дней очередного финансового года.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 В целях завершения операций по расходам местного бюджета и источникам финансирования дефицита </w:t>
      </w:r>
      <w:r w:rsidR="001A05EB">
        <w:rPr>
          <w:color w:val="000000"/>
        </w:rPr>
        <w:t>финансово-экономический отдел</w:t>
      </w:r>
      <w:r>
        <w:t xml:space="preserve"> </w:t>
      </w:r>
      <w:r>
        <w:rPr>
          <w:color w:val="000000"/>
        </w:rPr>
        <w:t xml:space="preserve">Местной администрации </w:t>
      </w:r>
      <w:r w:rsidR="001A05EB">
        <w:rPr>
          <w:color w:val="000000"/>
        </w:rPr>
        <w:t>муниципального образования поселок Тярлево</w:t>
      </w:r>
      <w:r>
        <w:rPr>
          <w:color w:val="000000"/>
        </w:rPr>
        <w:t xml:space="preserve"> принимает: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не позднее, чем за </w:t>
      </w:r>
      <w:r w:rsidR="001A05EB">
        <w:rPr>
          <w:color w:val="000000"/>
        </w:rPr>
        <w:t>три</w:t>
      </w:r>
      <w:r>
        <w:rPr>
          <w:color w:val="000000"/>
        </w:rPr>
        <w:t xml:space="preserve"> рабочих дн</w:t>
      </w:r>
      <w:r w:rsidR="001A05EB">
        <w:rPr>
          <w:color w:val="000000"/>
        </w:rPr>
        <w:t>я</w:t>
      </w:r>
      <w:r>
        <w:rPr>
          <w:color w:val="000000"/>
        </w:rPr>
        <w:t xml:space="preserve"> до окончания текущего финансового года - платежные и иные документы, необходимые для подтверждения в установленном порядке принятых денежных обязательств и осуществления выплат из местного бюджета. При этом дата составления документа в поле «дата» платежного документа не должна быть позднее даты, установленной настоящим пунктом;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не позднее, чем за </w:t>
      </w:r>
      <w:r w:rsidR="001A05EB">
        <w:rPr>
          <w:color w:val="000000"/>
        </w:rPr>
        <w:t>три</w:t>
      </w:r>
      <w:r>
        <w:rPr>
          <w:color w:val="000000"/>
        </w:rPr>
        <w:t xml:space="preserve"> рабочих дн</w:t>
      </w:r>
      <w:r w:rsidR="001A05EB">
        <w:rPr>
          <w:color w:val="000000"/>
        </w:rPr>
        <w:t>я</w:t>
      </w:r>
      <w:r>
        <w:rPr>
          <w:color w:val="000000"/>
        </w:rPr>
        <w:t xml:space="preserve"> до окончания текущего финансового года – </w:t>
      </w:r>
      <w:proofErr w:type="gramStart"/>
      <w:r>
        <w:rPr>
          <w:color w:val="000000"/>
        </w:rPr>
        <w:t>документы</w:t>
      </w:r>
      <w:proofErr w:type="gramEnd"/>
      <w:r>
        <w:rPr>
          <w:color w:val="000000"/>
        </w:rPr>
        <w:t xml:space="preserve"> подтверждающие принятие бюджетных обязательств путем заключения муниципальных контрактов/гражданско-правовых договоров. 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3. Ответственным лицам Местной администрации </w:t>
      </w:r>
      <w:r w:rsidR="001A05EB">
        <w:rPr>
          <w:color w:val="000000"/>
        </w:rPr>
        <w:t>муниципального образования поселок Тярлево</w:t>
      </w:r>
      <w:r>
        <w:rPr>
          <w:color w:val="000000"/>
        </w:rPr>
        <w:t xml:space="preserve"> необходимо принять меры по урегулированию дебиторской и кредиторской задолженности по состоянию на 1 января очередного финансового года. С этой целью довести до контрагентов информацию: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 правильном оформлении платежных документов на перечисление средств из местного бюджета;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 необходимости провести сверку расчетов.</w:t>
      </w:r>
    </w:p>
    <w:p w:rsidR="008A61CF" w:rsidRDefault="008A61CF" w:rsidP="008A61CF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 Не позднее 2</w:t>
      </w:r>
      <w:r w:rsidR="007F560D">
        <w:rPr>
          <w:color w:val="000000"/>
        </w:rPr>
        <w:t>8</w:t>
      </w:r>
      <w:r>
        <w:rPr>
          <w:color w:val="000000"/>
        </w:rPr>
        <w:t xml:space="preserve"> декабря текущего финансового года закончить внесение изменений в бюджетную роспись в части перераспределения бюджетных средств между кодами операций сектора государственного управления в пределах одного раздела, подраздела, целевой статьи и вида расходов, не приводящие к </w:t>
      </w:r>
      <w:proofErr w:type="gramStart"/>
      <w:r>
        <w:rPr>
          <w:color w:val="000000"/>
        </w:rPr>
        <w:t>изменению  бюджетной</w:t>
      </w:r>
      <w:proofErr w:type="gramEnd"/>
      <w:r>
        <w:rPr>
          <w:color w:val="000000"/>
        </w:rPr>
        <w:t xml:space="preserve"> росписи.</w:t>
      </w:r>
    </w:p>
    <w:p w:rsidR="008A61CF" w:rsidRDefault="008A61CF" w:rsidP="008A61C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5. В случае, если образовался остаток межбюджетных трансфертов, полученных в форме субвенций и </w:t>
      </w:r>
      <w:proofErr w:type="gramStart"/>
      <w:r>
        <w:rPr>
          <w:color w:val="000000"/>
        </w:rPr>
        <w:t>субсидий,  указанные</w:t>
      </w:r>
      <w:proofErr w:type="gramEnd"/>
      <w:r>
        <w:rPr>
          <w:color w:val="000000"/>
        </w:rPr>
        <w:t xml:space="preserve"> средства подлежат перечислению в доход бюджета Санкт-Петербурга, из которого они были предоставлены, в порядке, определенном Правительством Санкт-Петербурга.</w:t>
      </w:r>
    </w:p>
    <w:p w:rsidR="008A61CF" w:rsidRDefault="008A61CF" w:rsidP="008A61C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6. В случае, если образовался остаток средств от полученной муниципальным бюджетным учреждением субвенции, он подлежит перечислению на расчётный счет главного распорядителя бюджетных средств (Местной администрации </w:t>
      </w:r>
      <w:r w:rsidR="001A05EB">
        <w:rPr>
          <w:color w:val="000000"/>
        </w:rPr>
        <w:t>муниципального образования поселок Тярлево</w:t>
      </w:r>
      <w:r>
        <w:rPr>
          <w:color w:val="000000"/>
        </w:rPr>
        <w:t>) до 25 декабря текущего года.</w:t>
      </w:r>
    </w:p>
    <w:p w:rsidR="008A61CF" w:rsidRDefault="008A61CF" w:rsidP="008A61CF">
      <w:pPr>
        <w:ind w:firstLine="709"/>
        <w:jc w:val="both"/>
        <w:rPr>
          <w:color w:val="000000"/>
        </w:rPr>
      </w:pPr>
    </w:p>
    <w:p w:rsidR="008A61CF" w:rsidRDefault="008A61CF" w:rsidP="008A61CF">
      <w:pPr>
        <w:ind w:firstLine="709"/>
        <w:jc w:val="both"/>
        <w:rPr>
          <w:color w:val="000000"/>
        </w:rPr>
      </w:pPr>
    </w:p>
    <w:p w:rsidR="008A61CF" w:rsidRDefault="008A61CF" w:rsidP="008A61CF">
      <w:pPr>
        <w:pStyle w:val="ConsPlusNormal"/>
        <w:rPr>
          <w:sz w:val="24"/>
          <w:szCs w:val="24"/>
        </w:rPr>
      </w:pPr>
    </w:p>
    <w:p w:rsidR="00C978C5" w:rsidRDefault="00C978C5" w:rsidP="008A61CF">
      <w:pPr>
        <w:jc w:val="right"/>
      </w:pPr>
      <w:bookmarkStart w:id="1" w:name="_GoBack"/>
      <w:bookmarkEnd w:id="1"/>
    </w:p>
    <w:sectPr w:rsidR="00C978C5" w:rsidSect="00D86555">
      <w:pgSz w:w="11907" w:h="16840"/>
      <w:pgMar w:top="899" w:right="141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3"/>
    <w:lvlOverride w:ilvl="0">
      <w:startOverride w:val="11"/>
    </w:lvlOverride>
  </w:num>
  <w:num w:numId="5">
    <w:abstractNumId w:val="2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57"/>
    <w:rsid w:val="00057FBE"/>
    <w:rsid w:val="000C0D1A"/>
    <w:rsid w:val="000F668E"/>
    <w:rsid w:val="001460B2"/>
    <w:rsid w:val="001557D8"/>
    <w:rsid w:val="001A05EB"/>
    <w:rsid w:val="001F083C"/>
    <w:rsid w:val="001F08BD"/>
    <w:rsid w:val="002B4987"/>
    <w:rsid w:val="002C079F"/>
    <w:rsid w:val="002D74C4"/>
    <w:rsid w:val="002E0686"/>
    <w:rsid w:val="003D09CE"/>
    <w:rsid w:val="00421942"/>
    <w:rsid w:val="004410E4"/>
    <w:rsid w:val="00503057"/>
    <w:rsid w:val="005F7C75"/>
    <w:rsid w:val="006C4E7E"/>
    <w:rsid w:val="006E0172"/>
    <w:rsid w:val="006E7EA9"/>
    <w:rsid w:val="00721B9E"/>
    <w:rsid w:val="007F3A68"/>
    <w:rsid w:val="007F560D"/>
    <w:rsid w:val="008A61CF"/>
    <w:rsid w:val="00A31095"/>
    <w:rsid w:val="00B268E5"/>
    <w:rsid w:val="00B641D3"/>
    <w:rsid w:val="00B744B3"/>
    <w:rsid w:val="00B931AB"/>
    <w:rsid w:val="00B965DD"/>
    <w:rsid w:val="00BA220A"/>
    <w:rsid w:val="00C74019"/>
    <w:rsid w:val="00C978C5"/>
    <w:rsid w:val="00CC12DC"/>
    <w:rsid w:val="00D309DA"/>
    <w:rsid w:val="00D86555"/>
    <w:rsid w:val="00DA5359"/>
    <w:rsid w:val="00DD75E0"/>
    <w:rsid w:val="00EA138F"/>
    <w:rsid w:val="00EA425F"/>
    <w:rsid w:val="00EE18A8"/>
    <w:rsid w:val="00EF0088"/>
    <w:rsid w:val="00F01EAA"/>
    <w:rsid w:val="00F31AE6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17CE-6D95-4629-AB37-AFD2B518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8A61CF"/>
    <w:pPr>
      <w:keepNext/>
      <w:outlineLvl w:val="0"/>
    </w:pPr>
    <w:rPr>
      <w:rFonts w:eastAsia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E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A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A61CF"/>
    <w:rPr>
      <w:rFonts w:ascii="Times New Roman" w:eastAsia="Times New Roman" w:hAnsi="Times New Roman" w:cs="Tahoma"/>
      <w:b/>
      <w:kern w:val="3"/>
      <w:szCs w:val="24"/>
      <w:lang w:val="de-DE" w:eastAsia="ja-JP" w:bidi="fa-IR"/>
    </w:rPr>
  </w:style>
  <w:style w:type="paragraph" w:customStyle="1" w:styleId="Iauiue">
    <w:name w:val="Iau?iue"/>
    <w:rsid w:val="008A61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A61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A6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7</cp:revision>
  <cp:lastPrinted>2023-04-25T13:12:00Z</cp:lastPrinted>
  <dcterms:created xsi:type="dcterms:W3CDTF">2023-04-25T12:31:00Z</dcterms:created>
  <dcterms:modified xsi:type="dcterms:W3CDTF">2023-04-25T13:28:00Z</dcterms:modified>
</cp:coreProperties>
</file>